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  <w:lang w:val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  <w:lang w:val="zh-CN" w:eastAsia="zh-CN" w:bidi="ar-SA"/>
        </w:rPr>
        <w:t>企业职工基本养老保险</w:t>
      </w:r>
      <w:r>
        <w:rPr>
          <w:rFonts w:hint="default" w:ascii="Times New Roman" w:hAnsi="Times New Roman" w:eastAsia="方正小标宋简体" w:cs="Times New Roman"/>
          <w:bCs/>
          <w:color w:val="auto"/>
          <w:sz w:val="32"/>
          <w:highlight w:val="none"/>
          <w:u w:val="none"/>
          <w:lang w:val="zh-CN" w:bidi="ar-SA"/>
        </w:rPr>
        <w:t>单位社会保险信息记录及变更表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/>
        </w:rPr>
        <w:t>单位代码：                          　     单位全称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/>
        </w:rPr>
        <w:t>公章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Times New Roman" w:hAnsi="Times New Roman" w:cs="Times New Roman"/>
          <w:color w:val="auto"/>
          <w:sz w:val="28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u w:val="none"/>
        </w:rPr>
        <w:t>申请类型：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u w:val="none"/>
          <w:lang w:bidi="ar-SA"/>
        </w:rPr>
        <w:t>□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highlight w:val="none"/>
          <w:u w:val="none"/>
          <w:lang w:bidi="ar-SA"/>
        </w:rPr>
        <w:t xml:space="preserve">1、新单位信息记录             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u w:val="none"/>
          <w:lang w:bidi="ar-SA"/>
        </w:rPr>
        <w:t>□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highlight w:val="none"/>
          <w:u w:val="none"/>
          <w:lang w:bidi="ar-SA"/>
        </w:rPr>
        <w:t xml:space="preserve">2、单位信息变更                 </w:t>
      </w:r>
    </w:p>
    <w:tbl>
      <w:tblPr>
        <w:tblStyle w:val="4"/>
        <w:tblW w:w="13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668"/>
        <w:gridCol w:w="1724"/>
        <w:gridCol w:w="316"/>
        <w:gridCol w:w="1178"/>
        <w:gridCol w:w="1184"/>
        <w:gridCol w:w="257"/>
        <w:gridCol w:w="1232"/>
        <w:gridCol w:w="1346"/>
        <w:gridCol w:w="683"/>
        <w:gridCol w:w="132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新单位信息栏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主管部门名称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隶属关系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单位经办人姓名</w:t>
            </w: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单位经办部门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开户银行信息</w:t>
            </w:r>
          </w:p>
        </w:tc>
        <w:tc>
          <w:tcPr>
            <w:tcW w:w="5891" w:type="dxa"/>
            <w:gridSpan w:val="6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□社会保险资金专用账户 □社会保险资金结算账户</w:t>
            </w:r>
          </w:p>
        </w:tc>
        <w:tc>
          <w:tcPr>
            <w:tcW w:w="3349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委托授权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68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征收社保费银行信息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银行交换行号</w:t>
            </w:r>
          </w:p>
        </w:tc>
        <w:tc>
          <w:tcPr>
            <w:tcW w:w="2935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支付社保待遇银行信息</w:t>
            </w: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银行交换行号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开户银行</w:t>
            </w:r>
          </w:p>
        </w:tc>
        <w:tc>
          <w:tcPr>
            <w:tcW w:w="2935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开户银行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开户户名</w:t>
            </w:r>
          </w:p>
        </w:tc>
        <w:tc>
          <w:tcPr>
            <w:tcW w:w="2935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开户户名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开户账号</w:t>
            </w:r>
          </w:p>
        </w:tc>
        <w:tc>
          <w:tcPr>
            <w:tcW w:w="2935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2029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开户账号</w:t>
            </w:r>
          </w:p>
        </w:tc>
        <w:tc>
          <w:tcPr>
            <w:tcW w:w="2978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信息变更栏</w:t>
            </w:r>
          </w:p>
        </w:tc>
        <w:tc>
          <w:tcPr>
            <w:tcW w:w="4886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信息项目</w:t>
            </w:r>
          </w:p>
        </w:tc>
        <w:tc>
          <w:tcPr>
            <w:tcW w:w="4019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变更前信息</w:t>
            </w:r>
          </w:p>
        </w:tc>
        <w:tc>
          <w:tcPr>
            <w:tcW w:w="366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变更后信息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886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019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66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886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019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66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886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019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66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886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019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66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886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019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66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4886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019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66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说明</w:t>
            </w:r>
          </w:p>
        </w:tc>
        <w:tc>
          <w:tcPr>
            <w:tcW w:w="12566" w:type="dxa"/>
            <w:gridSpan w:val="11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委托授权是指单位是否同意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社会保险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经办机构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以自动转账的方式划转社会保险资金、接收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社会保险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经办机构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拨付的一次性待遇和收缴单位历年欠费。</w:t>
            </w:r>
          </w:p>
        </w:tc>
      </w:tr>
    </w:tbl>
    <w:p>
      <w:pPr>
        <w:pStyle w:val="3"/>
        <w:jc w:val="right"/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u w:val="none"/>
        </w:rPr>
        <w:t>广东省社会保险基金管理局制</w:t>
      </w:r>
    </w:p>
    <w:sectPr>
      <w:pgSz w:w="16838" w:h="11906" w:orient="landscape"/>
      <w:pgMar w:top="116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46435"/>
    <w:rsid w:val="0674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 w:val="0"/>
      <w:adjustRightInd w:val="0"/>
      <w:snapToGrid w:val="0"/>
      <w:spacing w:after="0" w:line="360" w:lineRule="auto"/>
      <w:jc w:val="both"/>
      <w:outlineLvl w:val="1"/>
    </w:pPr>
    <w:rPr>
      <w:rFonts w:ascii="Arial" w:hAnsi="Arial" w:eastAsia="仿宋_GB2312" w:cs="Times New Roman"/>
      <w:kern w:val="2"/>
      <w:sz w:val="30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黑体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2024-09-11T06:54:00Z</dcterms:created>
  <dc:creator>杜娟</dc:creator>
  <cp:lastModifiedBy>杜娟</cp:lastModifiedBy>
  <dcterms:modified xsi:type="dcterms:W3CDTF">2024-09-11T06:54:39Z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CE6B85AF75324A4C8E1BF63DCC81C898</vt:lpwstr>
  </property>
</Properties>
</file>