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第二届全国人力资源服务业发展大会方案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深入贯彻党的二十大精神，落实党中央、国务院关于发展人力资源服务业决策部署，更好发挥行业促进高质量充分就业、优化人力资源开发配置和服务高质量发展作用，现制定第二届全国人力资源服务业发展大会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一、大会主题和原则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（一）主题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激发人力资源动能  汇聚强国建设力量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（二）原则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服务大局。紧紧围绕就业优先战略、人才强国战略、创新驱动发展战略和乡村振兴战略，培育壮大市场化就业和人才服务力量，引导行业在服务现代化建设大局中实现更大作为。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突出特色。立足新发展格局下人力资源服务业发展实际和粤港澳大湾区特色，展示最新发展成果、创新技术和产品、国际先进经验，促进供需对接。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多方参与。广泛发动人力资源服务机构（含劳务派遣机构）、行业协会学会以及各类用人单位共同参与，运用市场化办会机制，形成合力。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务实节俭。严格落实中央八项规定及其实施细则精神，注重实效，办出特色。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二、时间地点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2023年11月下旬，会期2天（具体时间另行通知）。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在广东省深圳市国际会展中心举办。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三、举办单位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人力资源社会保障部、广东省人民政府共同主办。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人力资源社会保障部人力资源流动管理司、广东省人力资源和社会保障厅、深圳市人民政府承办。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四、主要内容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大会设置开幕、闭幕活动，以及研讨交流、供需洽谈对接和展示、创新创业和技能大赛、粤港澳大湾区青年人才招聘四项重点活动。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（一）开幕活动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大会首日上午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包括领导致辞、嘉宾演讲、行业代表发言等内容。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开幕活动设置发布环节，集中发布人社领域有关政策、重要成果等内容。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（二）人力资源服务业高质量发展研讨交流活动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大会首日下午和第二日上午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设置一个主会场和若干专题会场。邀请国内外知名专家、行业领军企业代表、行业协会以及全球知名企业管理者，围绕人力资源服务业创新发展、促进高质量充分就业、强化现代化建设人才支撑、“一带一路”人力资源合作等主题发表演讲，交流新发展格局下人力资源服务业发展的机遇与挑战，展望未来趋势，开展深入研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（三）人力资源服务供需洽谈对接和展示活动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大会全程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人力资源服务供需对接和招商引资宣介，组织优质项目在大会期间签约，为行业创新发展技术成果、优秀产品提供交流合作平台。设置粤港澳大湾区人力资源服务业发展成就展、人力资源服务领军企业展、重点用人单位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（四）人力资源服务创新创业和技能大赛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大会首日下午至第二日上午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服务创新创业大赛。初赛由各省级人力资源社会保障部门开展，面向全国征集130个左右人力资源服务创新创业项目、技术和产品。大会前由行业知名专家、协会组织、投融资机构组成评审委员会，选拔60个项目进入复赛，复赛确定20个优秀项目进入决赛。决赛在大会期间举行，并组织金融机构开展投融资洽谈。大赛分初创组和成长组两个赛道。工商注册日期在2022年1月1日（含）之后的企业可参加初创组比赛，其他企业参加成长组比赛。参赛企业须经营规范、社会信誉良好、无不良记录，具有创新能力和高成长潜力，拥有知识产权且无产权纠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粤港澳大湾区人力资源服务技能大赛。组织粤港澳大湾区人力资源服务行业从业人员，围绕人力资源服务实际应用场景，开展全业务模块综合技能竞赛，提升行业专业化、职业化水平。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（五）粤港澳大湾区青年人才招聘活动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大会首日下午至第二日下午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组织粤港澳大湾区重点企事业单位、人力资源服务龙头企业，面向高校毕业生及海外留学生等举办招聘活动，同时提供直播带岗、在线面试、人才测评等服务，全面提升招聘服务综合性效能。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（六）闭幕式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大会第二日下午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主要包括发布大会成果、项目签约、创新创业和技能大赛颁奖等。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五、出席领导及参加人员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人力资源社会保障部、广东省人民政府、深圳市人民政府负责同志出席。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有关司局、各省份人力资源社会保障厅（局）负责同志，人力资源服务产业园（出口基地）、人力资源服务机构、人力资源服务行业协会学会以及用人单位代表、专家学者、媒体记者等参加相关活动。各省份组织参会参展人数原则上不超过100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六、组织领导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、广东省人民政府、深圳市人民政府共同成立大会组委会，负责统筹决策和部署推动大会各项工作。组委会秘书处设在人力资源社会保障部人力资源流动管理司。在组委会领导下，组建大会执委会，下设综合协调组、专项活动组、新闻宣传组和后勤保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障组等，分工负责各项具体事务。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95732"/>
    <w:rsid w:val="019233E5"/>
    <w:rsid w:val="0DC23C1A"/>
    <w:rsid w:val="2363402F"/>
    <w:rsid w:val="263229F6"/>
    <w:rsid w:val="336741A5"/>
    <w:rsid w:val="43A95732"/>
    <w:rsid w:val="45F73A81"/>
    <w:rsid w:val="51511B8E"/>
    <w:rsid w:val="595079BC"/>
    <w:rsid w:val="6285182F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paragraph" w:customStyle="1" w:styleId="5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2023-04-24T05:35:00Z</dcterms:created>
  <dc:creator>luyao</dc:creator>
  <cp:lastModifiedBy>刘峥</cp:lastModifiedBy>
  <dcterms:modified xsi:type="dcterms:W3CDTF">2023-06-11T09:45:51Z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BFFDFED05DB64A37ADB00565AB6E82AF</vt:lpwstr>
  </property>
</Properties>
</file>