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2022年第二期韶关市“丹霞英才计划”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创新创业人才名单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陈水森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韶关市深湾低碳数字科技有限公司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研究员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贾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韶关市深湾低碳数字科技有限公司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研究员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秦伯雄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韶关市深湾低碳数字科技有限公司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研究员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江聪世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广东数字生态科技有限责任公司首席科学家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粟骏龙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广东数字生态科技有限责任公司研发部副经理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2022年第二期韶关市“丹霞英才计划”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专业技术人才名单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李  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韶关学院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教育学部专职副主任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罗人仕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韶关学院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化学与土木工程学院教授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廖彩虎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韶关学院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英东食品学院副教授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田长安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韶关学院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化学与土木工程学院教授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中震科建（广东）防灾减灾研究院有限公司智能生态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848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环境研究中心主任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王  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国科广化（南雄）新材料研究院有限公司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郭飞跃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乳源东阳光优艾希杰精箔有限公司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黄海辉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韶关学院信息工程学院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（韶关学院-中兴通讯ICT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学院）副院长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深圳市中金岭南有色金属股份有限公司丹霞冶炼厂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848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-6"/>
          <w:sz w:val="32"/>
          <w:szCs w:val="32"/>
          <w:lang w:val="en-US" w:eastAsia="zh-CN"/>
        </w:rPr>
        <w:t>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王祥达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乳源瑶族自治县东阳光实业发展有限公司技术总监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jc w:val="left"/>
        <w:textAlignment w:val="auto"/>
        <w:outlineLvl w:val="9"/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刘克辉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 xml:space="preserve">  广东韶钢松山股份有限公司制造管理部配煤技术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50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val="en-US" w:eastAsia="zh-CN"/>
        </w:rPr>
        <w:t>首席工程师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5F6CCD"/>
    <w:multiLevelType w:val="singleLevel"/>
    <w:tmpl w:val="BE5F6C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15F9B0"/>
    <w:multiLevelType w:val="singleLevel"/>
    <w:tmpl w:val="4715F9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552D7"/>
    <w:rsid w:val="04D76DFC"/>
    <w:rsid w:val="50E5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2023-05-26T10:08:00Z</dcterms:created>
  <dc:creator>陈颖</dc:creator>
  <cp:lastModifiedBy>陈颖</cp:lastModifiedBy>
  <dcterms:modified xsi:type="dcterms:W3CDTF">2023-05-26T10:08:51Z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</Properties>
</file>