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韶关市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职业技能竞赛管理办法（征求意见稿）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为深入贯彻习近平总书记</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关于</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技能人才工作的重要指示精神</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规范</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全市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职业技能竞赛活动，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健全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职业技能竞赛体系，</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高技能人才培养选拔机制，</w:t>
      </w:r>
      <w:r>
        <w:rPr>
          <w:rFonts w:hint="eastAsia" w:ascii="仿宋_GB2312" w:hAnsi="仿宋_GB2312" w:eastAsia="仿宋_GB2312" w:cs="仿宋_GB2312"/>
          <w:snapToGrid w:val="0"/>
          <w:color w:val="000000" w:themeColor="text1"/>
          <w:sz w:val="32"/>
          <w:szCs w:val="32"/>
          <w14:textFill>
            <w14:solidFill>
              <w14:schemeClr w14:val="tx1"/>
            </w14:solidFill>
          </w14:textFill>
        </w:rPr>
        <w:t>加强高技能人才队伍建设</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u w:val="none"/>
          <w14:textFill>
            <w14:solidFill>
              <w14:schemeClr w14:val="tx1"/>
            </w14:solidFill>
          </w14:textFill>
        </w:rPr>
        <w:t>根据《中华人民共和国</w:t>
      </w:r>
      <w:r>
        <w:rPr>
          <w:rFonts w:hint="eastAsia" w:ascii="仿宋_GB2312" w:hAnsi="仿宋_GB2312" w:eastAsia="仿宋_GB2312" w:cs="仿宋_GB2312"/>
          <w:snapToGrid w:val="0"/>
          <w:color w:val="000000" w:themeColor="text1"/>
          <w:sz w:val="32"/>
          <w:szCs w:val="32"/>
          <w:u w:val="none"/>
          <w:lang w:eastAsia="zh-CN"/>
          <w14:textFill>
            <w14:solidFill>
              <w14:schemeClr w14:val="tx1"/>
            </w14:solidFill>
          </w14:textFill>
        </w:rPr>
        <w:t>职业教育法</w:t>
      </w:r>
      <w:r>
        <w:rPr>
          <w:rFonts w:hint="eastAsia" w:ascii="仿宋_GB2312" w:hAnsi="仿宋_GB2312" w:eastAsia="仿宋_GB2312" w:cs="仿宋_GB2312"/>
          <w:snapToGrid w:val="0"/>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《广东省人力资源和社会保障厅关于印发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广东省职业技能竞赛管理办法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32"/>
          <w:lang w:eastAsia="zh-CN"/>
          <w14:textFill>
            <w14:solidFill>
              <w14:schemeClr w14:val="tx1"/>
            </w14:solidFill>
          </w14:textFill>
        </w:rPr>
        <w:t>的通知》（粤人社规〔2022〕12号）《</w:t>
      </w:r>
      <w:r>
        <w:rPr>
          <w:rFonts w:hint="eastAsia" w:ascii="仿宋_GB2312" w:hAnsi="仿宋_GB2312" w:eastAsia="仿宋_GB2312" w:cs="仿宋_GB2312"/>
          <w:snapToGrid w:val="0"/>
          <w:color w:val="000000" w:themeColor="text1"/>
          <w:sz w:val="32"/>
          <w:szCs w:val="32"/>
          <w:u w:val="none"/>
          <w:lang w:eastAsia="zh-CN"/>
          <w14:textFill>
            <w14:solidFill>
              <w14:schemeClr w14:val="tx1"/>
            </w14:solidFill>
          </w14:textFill>
        </w:rPr>
        <w:t>中共韶关市委办公室</w:t>
      </w:r>
      <w:r>
        <w:rPr>
          <w:rFonts w:hint="eastAsia" w:ascii="仿宋_GB2312" w:hAnsi="仿宋_GB2312" w:eastAsia="仿宋_GB2312" w:cs="仿宋_GB2312"/>
          <w:snapToGrid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u w:val="none"/>
          <w:lang w:eastAsia="zh-CN"/>
          <w14:textFill>
            <w14:solidFill>
              <w14:schemeClr w14:val="tx1"/>
            </w14:solidFill>
          </w14:textFill>
        </w:rPr>
        <w:t>韶关市人民政府办公室关于印发</w:t>
      </w:r>
      <w:r>
        <w:rPr>
          <w:rFonts w:hint="eastAsia" w:ascii="仿宋_GB2312" w:hAnsi="仿宋_GB2312" w:eastAsia="仿宋_GB2312" w:cs="仿宋_GB2312"/>
          <w:snapToGrid w:val="0"/>
          <w:color w:val="000000" w:themeColor="text1"/>
          <w:sz w:val="32"/>
          <w:szCs w:val="32"/>
          <w:u w:val="none"/>
          <w:lang w:val="en-US" w:eastAsia="zh-CN"/>
          <w14:textFill>
            <w14:solidFill>
              <w14:schemeClr w14:val="tx1"/>
            </w14:solidFill>
          </w14:textFill>
        </w:rPr>
        <w:t>&lt;</w:t>
      </w:r>
      <w:r>
        <w:rPr>
          <w:rFonts w:hint="eastAsia" w:ascii="仿宋_GB2312" w:hAnsi="仿宋_GB2312" w:eastAsia="仿宋_GB2312" w:cs="仿宋_GB2312"/>
          <w:snapToGrid w:val="0"/>
          <w:color w:val="000000" w:themeColor="text1"/>
          <w:sz w:val="32"/>
          <w:szCs w:val="32"/>
          <w:u w:val="none"/>
          <w:lang w:eastAsia="zh-CN"/>
          <w14:textFill>
            <w14:solidFill>
              <w14:schemeClr w14:val="tx1"/>
            </w14:solidFill>
          </w14:textFill>
        </w:rPr>
        <w:t>韶关市新时期产业工人队伍建设改革实施方案</w:t>
      </w:r>
      <w:r>
        <w:rPr>
          <w:rFonts w:hint="eastAsia" w:ascii="仿宋_GB2312" w:hAnsi="仿宋_GB2312" w:eastAsia="仿宋_GB2312" w:cs="仿宋_GB2312"/>
          <w:snapToGrid w:val="0"/>
          <w:color w:val="000000" w:themeColor="text1"/>
          <w:sz w:val="32"/>
          <w:szCs w:val="32"/>
          <w:u w:val="none"/>
          <w:lang w:val="en-US" w:eastAsia="zh-CN"/>
          <w14:textFill>
            <w14:solidFill>
              <w14:schemeClr w14:val="tx1"/>
            </w14:solidFill>
          </w14:textFill>
        </w:rPr>
        <w:t>&gt;</w:t>
      </w:r>
      <w:r>
        <w:rPr>
          <w:rFonts w:hint="eastAsia" w:ascii="仿宋_GB2312" w:hAnsi="仿宋_GB2312" w:eastAsia="仿宋_GB2312" w:cs="仿宋_GB2312"/>
          <w:snapToGrid w:val="0"/>
          <w:color w:val="000000" w:themeColor="text1"/>
          <w:sz w:val="32"/>
          <w:szCs w:val="32"/>
          <w:u w:val="none"/>
          <w:lang w:eastAsia="zh-CN"/>
          <w14:textFill>
            <w14:solidFill>
              <w14:schemeClr w14:val="tx1"/>
            </w14:solidFill>
          </w14:textFill>
        </w:rPr>
        <w:t>的通知》</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，结合我市实际，</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第二条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本办法所称职业技能竞赛是指依据国家职业技能标准、行业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企业评价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规范，根据社会经济对高技能人才的需求，结合生产和服务工作实际，有组织开展的以考核操作技能为主要内容的群众性</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同场竞技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赛活动。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第三条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本办法适用于人力资源社会保障部门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包括行政部门、竞赛业务指导部门，下同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主办、参与主办及统筹管理的各级各类职业技能竞赛。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努力</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构建以世界技能大赛为引领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，国家级、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省</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职业技能大赛为龙头</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，市级职业技能竞赛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为主体</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、县级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职业技能竞赛为基础的职业技能竞赛体系，</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搭建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展示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技能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、切磋技艺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平台，</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为优秀高技能人才脱颖而出创造条件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第五条</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职业技能竞赛要</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大力弘扬劳模精神、劳动精神、工匠精神，以赛促学、以赛促培、以赛促训，</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突出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职业</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技能水平</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切磋比拼</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广大技能劳动者在理论与实践相结合中提高专业素养、提升实操能力，推动技能人才队伍建设。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第六条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职业技能竞赛要坚持公开、公平、公正的原则，积极对标</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全国</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、全</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技能大赛，借鉴吸收先进理念和经验做法，提</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办赛</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水平和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质量，提升竞赛科学化、规范化、专业化水平。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第七条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人力资源社会保障行政部门为职业技能竞赛主管部门。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各级职业技能服务（鉴定）中心</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负责职业技能竞赛技术支持指导。</w:t>
      </w:r>
    </w:p>
    <w:p>
      <w:pPr>
        <w:pStyle w:val="3"/>
        <w:keepNext w:val="0"/>
        <w:keepLines w:val="0"/>
        <w:pageBreakBefore w:val="0"/>
        <w:widowControl w:val="0"/>
        <w:kinsoku/>
        <w:overflowPunct/>
        <w:topLinePunct w:val="0"/>
        <w:autoSpaceDE/>
        <w:autoSpaceDN/>
        <w:bidi w:val="0"/>
        <w:adjustRightInd/>
        <w:spacing w:line="600" w:lineRule="exact"/>
        <w:textAlignment w:val="auto"/>
        <w:outlineLvl w:val="9"/>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 xml:space="preserve">第二章 </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竞赛</w:t>
      </w: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分类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职业技能竞赛实行分级分类管理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，分为：省级以上竞赛、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级竞赛、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级竞赛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层级</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级竞赛分为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全市职业技能大赛和全市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行业企业职业技能竞赛</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竞赛实行分级分类管理，分为：省级以上竞赛、市级竞赛、县级竞赛等三类。</w:t>
      </w:r>
    </w:p>
    <w:p>
      <w:pPr>
        <w:pStyle w:val="3"/>
        <w:keepNext w:val="0"/>
        <w:keepLines w:val="0"/>
        <w:pageBreakBefore w:val="0"/>
        <w:widowControl w:val="0"/>
        <w:kinsoku/>
        <w:overflowPunct/>
        <w:topLinePunct w:val="0"/>
        <w:autoSpaceDE/>
        <w:autoSpaceDN/>
        <w:bidi w:val="0"/>
        <w:adjustRightInd/>
        <w:spacing w:line="600" w:lineRule="exact"/>
        <w:ind w:firstLine="632" w:firstLineChars="200"/>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（一）省级以上竞赛，</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是指国家或省政府部门，行业组织等单位主办，被列入国家或省人力资源和社会保障部门公布的年度竞赛计划的竞赛或专项赛，主要包括：世界技能大赛、中华人民共和国职业技能大赛、全国行业职业技能竞赛、广东省职业技能大赛、广东省行业企业职业技能竞赛、粤港澳大湾区“粤菜师傅”技能大赛、广东省“南粤家政”技能大赛、广东省乡村振兴职业技能大赛、广东省新职业技术技能大赛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（二）市级竞赛，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分为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级一类竞赛和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级二类竞赛</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两个类别</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。原则上每年举办一次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可冠以“××年</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韶关市</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（××行业或系统）××</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”等活动名称。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级一类职业技能竞赛是指跨行业（系统）、跨地区通用职业（工种）的全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性重要综合性赛事，由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级人力资源社会保障部门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举办或联合市直有关部门（单位）共同举办</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级二类职业技能竞赛是指</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行业（系统）特有职业（工种）或通用职业（工种）的竞赛，由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级行业（系统）</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主管部门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企事业单位、行业</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协会</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或职业技能培训机构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等牵头组织</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firstLine="632" w:firstLineChars="200"/>
        <w:textAlignment w:val="auto"/>
        <w:outlineLvl w:val="9"/>
        <w:rPr>
          <w:rFonts w:hint="eastAsia"/>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3.国家级职业技能赛事省选拔赛类别，按照省有关规定组织实施。</w:t>
      </w:r>
    </w:p>
    <w:p>
      <w:pPr>
        <w:pStyle w:val="3"/>
        <w:keepNext w:val="0"/>
        <w:keepLines w:val="0"/>
        <w:pageBreakBefore w:val="0"/>
        <w:widowControl w:val="0"/>
        <w:kinsoku/>
        <w:wordWrap/>
        <w:overflowPunct/>
        <w:topLinePunct w:val="0"/>
        <w:autoSpaceDE/>
        <w:autoSpaceDN/>
        <w:bidi w:val="0"/>
        <w:adjustRightInd/>
        <w:spacing w:line="60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（三）县级竞赛，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我市县（市、区）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行政区域内的职业技能竞赛活动，竞赛周期和组织实施由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自行确定。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各县（市、区）</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应当积极建立完善本地</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职业技能</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竞赛体系</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十</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企业岗位练兵是开展职业技能竞赛的基础和重要组成部分。鼓励广大企业自主开展形式多样的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岗位练兵</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技术比武活动，积极参与各层级职业技能竞赛活动，以赛练兵、以赛选才。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三</w:t>
      </w: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 xml:space="preserve">章 </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申报计划</w:t>
      </w:r>
    </w:p>
    <w:p>
      <w:pPr>
        <w:pStyle w:val="3"/>
        <w:keepNext w:val="0"/>
        <w:keepLines w:val="0"/>
        <w:pageBreakBefore w:val="0"/>
        <w:kinsoku/>
        <w:overflowPunct/>
        <w:topLinePunct w:val="0"/>
        <w:autoSpaceDE/>
        <w:autoSpaceDN/>
        <w:bidi w:val="0"/>
        <w:spacing w:line="600" w:lineRule="exact"/>
        <w:ind w:firstLine="632" w:firstLineChars="200"/>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pStyle w:val="3"/>
        <w:keepNext w:val="0"/>
        <w:keepLines w:val="0"/>
        <w:pageBreakBefore w:val="0"/>
        <w:kinsoku/>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十</w:t>
      </w:r>
      <w:r>
        <w:rPr>
          <w:rFonts w:hint="eastAsia"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条</w:t>
      </w:r>
      <w:r>
        <w:rPr>
          <w:rFonts w:hint="default"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市级、县级</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职业技能竞赛实行年度计划制度，履行申报、</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遴选</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发</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布等程序。</w:t>
      </w:r>
    </w:p>
    <w:p>
      <w:pPr>
        <w:keepNext w:val="0"/>
        <w:keepLines w:val="0"/>
        <w:pageBreakBefore w:val="0"/>
        <w:kinsoku/>
        <w:overflowPunct/>
        <w:topLinePunct w:val="0"/>
        <w:autoSpaceDE/>
        <w:autoSpaceDN/>
        <w:bidi w:val="0"/>
        <w:snapToGrid/>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t>第十</w:t>
      </w:r>
      <w:r>
        <w:rPr>
          <w:rFonts w:hint="eastAsia"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t>二</w:t>
      </w:r>
      <w:r>
        <w:rPr>
          <w:rFonts w:hint="default"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申请举办</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市级、县级</w:t>
      </w:r>
      <w:r>
        <w:rPr>
          <w:rFonts w:hint="eastAsia" w:ascii="仿宋_GB2312" w:hAnsi="仿宋_GB2312" w:eastAsia="仿宋_GB2312" w:cs="仿宋_GB2312"/>
          <w:color w:val="000000" w:themeColor="text1"/>
          <w:sz w:val="32"/>
          <w:szCs w:val="32"/>
          <w14:textFill>
            <w14:solidFill>
              <w14:schemeClr w14:val="tx1"/>
            </w14:solidFill>
          </w14:textFill>
        </w:rPr>
        <w:t>职业技能竞赛的主办单位或承办单位，应具备下列基本条件：</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（一）能够独立承担民事责任；</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（二）具备相应的组织机构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组织管理能力；</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（三）具备办赛必要的经费、设施设备、场地和评定成绩所需的检测手段；</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（四）有完善的竞赛组织实施方案、竞赛规则、技术规程；</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熟悉技能竞赛职业（工种）的管理人员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项目专家和专业技术技能人员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tabs>
          <w:tab w:val="center" w:pos="4153"/>
          <w:tab w:val="right" w:pos="8306"/>
        </w:tabs>
        <w:kinsoku/>
        <w:overflowPunct/>
        <w:topLinePunct w:val="0"/>
        <w:autoSpaceDE/>
        <w:autoSpaceDN/>
        <w:bidi w:val="0"/>
        <w:spacing w:line="60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（六）有完善的赛务、安全、环保、卫生、防疫等保障措施。</w:t>
      </w:r>
    </w:p>
    <w:p>
      <w:pPr>
        <w:keepNext w:val="0"/>
        <w:keepLines w:val="0"/>
        <w:pageBreakBefore w:val="0"/>
        <w:kinsoku/>
        <w:overflowPunct/>
        <w:topLinePunct w:val="0"/>
        <w:autoSpaceDE/>
        <w:autoSpaceDN/>
        <w:bidi w:val="0"/>
        <w:snapToGrid/>
        <w:spacing w:line="600" w:lineRule="exact"/>
        <w:ind w:firstLine="632" w:firstLineChars="200"/>
        <w:textAlignment w:val="auto"/>
        <w:rPr>
          <w:rFonts w:hint="eastAsia"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u w:val="none"/>
          <w:lang w:val="en-US" w:eastAsia="zh-CN" w:bidi="ar"/>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年度计划</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计划申报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市级</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一类二类职业技能</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竞赛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原则上</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由市</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直有关部门、中央驻韶有关单位、市属企事业单位、行业协会等社团组织和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职业技能培训机构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于每年年底</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级人力资源社会保障部门提交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度竞赛计划申请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县级职业技能竞赛竞赛由县级人力资源和社会保障部门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于每年年底</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级人力资源社会保障部门提交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度竞赛计划申请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，竞赛计划申请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明确竞赛职业（工种）、竞赛标准、规模及举办时间、联系</w:t>
      </w:r>
      <w:r>
        <w:rPr>
          <w:rFonts w:hint="eastAsia" w:ascii="仿宋_GB2312" w:hAnsi="仿宋_GB2312" w:eastAsia="仿宋_GB2312" w:cs="仿宋_GB2312"/>
          <w:color w:val="000000" w:themeColor="text1"/>
          <w:sz w:val="32"/>
          <w:szCs w:val="32"/>
          <w14:textFill>
            <w14:solidFill>
              <w14:schemeClr w14:val="tx1"/>
            </w14:solidFill>
          </w14:textFill>
        </w:rPr>
        <w:t>信息等事项。</w:t>
      </w:r>
    </w:p>
    <w:p>
      <w:pPr>
        <w:keepNext w:val="0"/>
        <w:keepLines w:val="0"/>
        <w:pageBreakBefore w:val="0"/>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（二）计划发布。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人力资源社会保障部门根据申报情况，统筹</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遴选</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赛事安排和项目设置，公布职业技能竞赛年度计划</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32" w:firstLineChars="200"/>
        <w:textAlignment w:val="auto"/>
        <w:rPr>
          <w:rFonts w:hint="eastAsia" w:ascii="仿宋_GB2312" w:hAnsi="仿宋_GB2312" w:eastAsia="仿宋_GB2312" w:cs="仿宋_GB2312"/>
          <w:color w:val="000000" w:themeColor="text1"/>
          <w:kern w:val="2"/>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赛前报备。竞赛主办单位须于竞赛启动前1个月向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人力资源社会保障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提交技术备案表、技术工作文件、</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竞赛组织</w:t>
      </w:r>
      <w:r>
        <w:rPr>
          <w:rFonts w:hint="eastAsia" w:ascii="仿宋_GB2312" w:hAnsi="仿宋_GB2312" w:eastAsia="仿宋_GB2312" w:cs="仿宋_GB2312"/>
          <w:color w:val="000000" w:themeColor="text1"/>
          <w:kern w:val="2"/>
          <w:sz w:val="32"/>
          <w:szCs w:val="32"/>
          <w:highlight w:val="none"/>
          <w:u w:val="none"/>
          <w:lang w:eastAsia="zh-CN"/>
          <w14:textFill>
            <w14:solidFill>
              <w14:schemeClr w14:val="tx1"/>
            </w14:solidFill>
          </w14:textFill>
        </w:rPr>
        <w:t>工作</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方案等有关文件</w:t>
      </w:r>
      <w:r>
        <w:rPr>
          <w:rFonts w:hint="eastAsia" w:ascii="仿宋_GB2312" w:hAnsi="仿宋_GB2312" w:eastAsia="仿宋_GB2312" w:cs="仿宋_GB2312"/>
          <w:color w:val="000000" w:themeColor="text1"/>
          <w:kern w:val="2"/>
          <w:sz w:val="32"/>
          <w:szCs w:val="32"/>
          <w:highlight w:val="none"/>
          <w:u w:val="none"/>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snapToGrid w:val="0"/>
        <w:spacing w:line="600" w:lineRule="exact"/>
        <w:ind w:firstLine="632" w:firstLineChars="200"/>
        <w:textAlignment w:val="auto"/>
        <w:rPr>
          <w:rFonts w:hint="eastAsia" w:ascii="仿宋_GB2312" w:hAnsi="仿宋_GB2312" w:eastAsia="仿宋_GB2312" w:cs="仿宋_GB2312"/>
          <w:color w:val="000000" w:themeColor="text1"/>
          <w:kern w:val="0"/>
          <w:sz w:val="32"/>
          <w:szCs w:val="32"/>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（四）有关要求</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竞赛主办单位要落实办赛主体责任，除市直部门联合举办的竞赛外，</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每项赛事</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的主办单位原则上不多于一个。市级一类竞赛原则上不超过六项</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每项竞赛设置职业（工种）</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原则上不超过两</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个</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控制竞赛频次，相同名称的行业竞赛项目原则上隔年举办一次，同一年度同一职业（工种）原则上不重复举办。</w:t>
      </w:r>
      <w:r>
        <w:rPr>
          <w:rFonts w:hint="eastAsia" w:ascii="仿宋_GB2312" w:hAnsi="仿宋_GB2312" w:eastAsia="仿宋_GB2312" w:cs="仿宋_GB2312"/>
          <w:color w:val="000000" w:themeColor="text1"/>
          <w:spacing w:val="-6"/>
          <w:kern w:val="0"/>
          <w:sz w:val="32"/>
          <w:szCs w:val="32"/>
          <w:highlight w:val="none"/>
          <w:u w:val="none"/>
          <w:lang w:val="en-US" w:eastAsia="zh-CN" w:bidi="ar"/>
          <w14:textFill>
            <w14:solidFill>
              <w14:schemeClr w14:val="tx1"/>
            </w14:solidFill>
          </w14:textFill>
        </w:rPr>
        <w:t>纳入市级计划的竞赛应在当年举办，逾期自动失效。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市级职业技能竞赛要面向全市公开接受报名，确保竞赛规模和参赛面。未按要求面向全市公开举办并接受报名的，其优胜者不列入“韶关市技术能手”称号审核范围。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cs="Times New Roman"/>
          <w:color w:val="000000" w:themeColor="text1"/>
          <w:kern w:val="0"/>
          <w:sz w:val="32"/>
          <w:szCs w:val="32"/>
          <w:highlight w:val="none"/>
          <w:u w:val="none"/>
          <w:lang w:eastAsia="zh-CN" w:bidi="ar"/>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职业技能竞赛年度计划公布后，主办单位不得随意取消、变更职业技能竞赛活动。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由于特殊原因确需取消或变更的，</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应提前向人力资源社会保障部门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报备</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并经同意，同时</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做</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好善后</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处置</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四</w:t>
      </w: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章 组织实施</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default" w:ascii="Times New Roman" w:hAnsi="Times New Roman" w:eastAsia="黑体" w:cs="Times New Roman"/>
          <w:color w:val="000000" w:themeColor="text1"/>
          <w:sz w:val="32"/>
          <w:szCs w:val="32"/>
          <w:highlight w:val="none"/>
          <w:u w:val="none"/>
          <w:lang w:bidi="ar"/>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bidi="ar"/>
          <w14:textFill>
            <w14:solidFill>
              <w14:schemeClr w14:val="tx1"/>
            </w14:solidFill>
          </w14:textFill>
        </w:rPr>
        <w:t>第</w:t>
      </w:r>
      <w:r>
        <w:rPr>
          <w:rFonts w:hint="default" w:ascii="Times New Roman" w:hAnsi="Times New Roman" w:eastAsia="黑体" w:cs="Times New Roman"/>
          <w:color w:val="000000" w:themeColor="text1"/>
          <w:sz w:val="32"/>
          <w:szCs w:val="32"/>
          <w:highlight w:val="none"/>
          <w:u w:val="none"/>
          <w:lang w:val="en-US" w:eastAsia="zh-CN" w:bidi="ar"/>
          <w14:textFill>
            <w14:solidFill>
              <w14:schemeClr w14:val="tx1"/>
            </w14:solidFill>
          </w14:textFill>
        </w:rPr>
        <w:t>十</w:t>
      </w:r>
      <w:r>
        <w:rPr>
          <w:rFonts w:hint="eastAsia" w:ascii="Times New Roman" w:hAnsi="Times New Roman" w:eastAsia="黑体" w:cs="Times New Roman"/>
          <w:color w:val="000000" w:themeColor="text1"/>
          <w:sz w:val="32"/>
          <w:szCs w:val="32"/>
          <w:highlight w:val="none"/>
          <w:u w:val="none"/>
          <w:lang w:val="en-US" w:eastAsia="zh-CN" w:bidi="ar"/>
          <w14:textFill>
            <w14:solidFill>
              <w14:schemeClr w14:val="tx1"/>
            </w14:solidFill>
          </w14:textFill>
        </w:rPr>
        <w:t>六</w:t>
      </w:r>
      <w:r>
        <w:rPr>
          <w:rFonts w:hint="default" w:ascii="Times New Roman" w:hAnsi="Times New Roman" w:eastAsia="黑体" w:cs="Times New Roman"/>
          <w:color w:val="000000" w:themeColor="text1"/>
          <w:sz w:val="32"/>
          <w:szCs w:val="32"/>
          <w:highlight w:val="none"/>
          <w:u w:val="none"/>
          <w:lang w:bidi="ar"/>
          <w14:textFill>
            <w14:solidFill>
              <w14:schemeClr w14:val="tx1"/>
            </w14:solidFill>
          </w14:textFill>
        </w:rPr>
        <w:t>条</w:t>
      </w:r>
      <w:r>
        <w:rPr>
          <w:rFonts w:hint="default" w:ascii="Times New Roman" w:hAnsi="Times New Roman" w:eastAsia="黑体" w:cs="Times New Roman"/>
          <w:color w:val="000000" w:themeColor="text1"/>
          <w:sz w:val="32"/>
          <w:szCs w:val="32"/>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职业技能竞赛活动实行主办单位负责制。主办单位对竞赛全过程履行主体责任</w:t>
      </w:r>
      <w:r>
        <w:rPr>
          <w:rFonts w:hint="eastAsia" w:ascii="仿宋_GB2312" w:hAnsi="仿宋_GB2312" w:eastAsia="仿宋_GB2312" w:cs="仿宋_GB2312"/>
          <w:color w:val="000000" w:themeColor="text1"/>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14:textFill>
            <w14:solidFill>
              <w14:schemeClr w14:val="tx1"/>
            </w14:solidFill>
          </w14:textFill>
        </w:rPr>
        <w:t>可根据实际遴选承办单位和协办单位。</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承办单位负责赛事筹备、实施及各项保障工作。协办单位为职业技能竞赛提供场地、技术、物资、人员等支持。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七</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职业技能竞赛主办单位应牵头成立赛事组织委员会，根据需要可设置综合协调、技术、赛务、活动、宣传、监督仲裁</w:t>
      </w:r>
      <w:r>
        <w:rPr>
          <w:rFonts w:hint="default"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安全和卫生防疫</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等工作的专门机构，明确职责分工、协同合作。承办单位应牵头成立赛事执行委员会，负责竞赛的具体组织实施。</w:t>
      </w:r>
      <w:r>
        <w:rPr>
          <w:rFonts w:hint="default"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t>大赛结束后，</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赛事组织委员会</w:t>
      </w:r>
      <w:r>
        <w:rPr>
          <w:rFonts w:hint="default"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执行委员会</w:t>
      </w:r>
      <w:r>
        <w:rPr>
          <w:rFonts w:hint="default"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t>职能自行终止。</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八</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职业技能竞赛主办单位、承办单位和协办单位应当根据需要做好以下筹备工作：</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制定竞赛组织工作方案，</w:t>
      </w:r>
      <w:r>
        <w:rPr>
          <w:rFonts w:hint="eastAsia" w:ascii="仿宋_GB2312" w:hAnsi="仿宋_GB2312" w:eastAsia="仿宋_GB2312" w:cs="仿宋_GB2312"/>
          <w:color w:val="000000" w:themeColor="text1"/>
          <w:sz w:val="32"/>
          <w:szCs w:val="32"/>
          <w14:textFill>
            <w14:solidFill>
              <w14:schemeClr w14:val="tx1"/>
            </w14:solidFill>
          </w14:textFill>
        </w:rPr>
        <w:t>印发职业技能竞赛通知，部署推动竞赛整体工作；</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（二）编制技术工作文件、命制试题；</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（三）配备竞赛场地、设施设备、工具材料等；</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（四）配备裁判人员、技术人员和赛务保障人员等；</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（五）落实医疗、卫生、食宿、交通、安保等相关措施。</w:t>
      </w:r>
    </w:p>
    <w:p>
      <w:pPr>
        <w:keepNext w:val="0"/>
        <w:keepLines w:val="0"/>
        <w:pageBreakBefore w:val="0"/>
        <w:widowControl/>
        <w:suppressLineNumbers w:val="0"/>
        <w:kinsoku/>
        <w:overflowPunct/>
        <w:topLinePunct w:val="0"/>
        <w:autoSpaceDE/>
        <w:autoSpaceDN/>
        <w:bidi w:val="0"/>
        <w:spacing w:line="600" w:lineRule="exact"/>
        <w:ind w:firstLine="632" w:firstLineChars="200"/>
        <w:jc w:val="left"/>
        <w:textAlignment w:val="auto"/>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pP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第十九条</w:t>
      </w:r>
      <w:r>
        <w:rPr>
          <w:rFonts w:hint="eastAsia"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竞赛开始前，承办单位应当至少提前 1 个月将竞赛技术备案表、技术工作文件、竞赛组织工作方案报市人力资源和社会保障部门备案。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二十</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竞赛工种原则上为</w:t>
      </w:r>
      <w:r>
        <w:rPr>
          <w:rFonts w:hint="eastAsia" w:ascii="仿宋_GB2312" w:hAnsi="仿宋_GB2312" w:eastAsia="仿宋_GB2312" w:cs="仿宋_GB2312"/>
          <w:color w:val="000000" w:themeColor="text1"/>
          <w:sz w:val="32"/>
          <w:szCs w:val="32"/>
          <w14:textFill>
            <w14:solidFill>
              <w14:schemeClr w14:val="tx1"/>
            </w14:solidFill>
          </w14:textFill>
        </w:rPr>
        <w:t>已列入《中华人民共和国职业分类大典》以及之后由国家公布的新职业（工种）。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鼓励主办单位</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bidi="ar"/>
          <w14:textFill>
            <w14:solidFill>
              <w14:schemeClr w14:val="tx1"/>
            </w14:solidFill>
          </w14:textFill>
        </w:rPr>
        <w:t>围绕世界</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技能大赛</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bidi="ar"/>
          <w14:textFill>
            <w14:solidFill>
              <w14:schemeClr w14:val="tx1"/>
            </w14:solidFill>
          </w14:textFill>
        </w:rPr>
        <w:t>和国家技能大赛，紧贴我</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eastAsia="zh-CN" w:bidi="ar"/>
          <w14:textFill>
            <w14:solidFill>
              <w14:schemeClr w14:val="tx1"/>
            </w14:solidFill>
          </w14:textFill>
        </w:rPr>
        <w:t>市</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bidi="ar"/>
          <w14:textFill>
            <w14:solidFill>
              <w14:schemeClr w14:val="tx1"/>
            </w14:solidFill>
          </w14:textFill>
        </w:rPr>
        <w:t>产业发展需求的关键技术技能岗位，</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选择</w:t>
      </w:r>
      <w:r>
        <w:rPr>
          <w:rFonts w:hint="eastAsia" w:ascii="仿宋_GB2312" w:hAnsi="仿宋_GB2312" w:eastAsia="仿宋_GB2312" w:cs="仿宋_GB2312"/>
          <w:i w:val="0"/>
          <w:caps w:val="0"/>
          <w:color w:val="000000" w:themeColor="text1"/>
          <w:spacing w:val="0"/>
          <w:kern w:val="0"/>
          <w:sz w:val="32"/>
          <w:szCs w:val="32"/>
          <w:highlight w:val="none"/>
          <w:u w:val="none"/>
          <w:shd w:val="clear" w:color="auto" w:fill="auto"/>
          <w:lang w:bidi="ar"/>
          <w14:textFill>
            <w14:solidFill>
              <w14:schemeClr w14:val="tx1"/>
            </w14:solidFill>
          </w14:textFill>
        </w:rPr>
        <w:t>技术含量高、从业人员多、影响面较大、发展较迅速的职业（工种）或在本行业具有代表前沿技术的标志性职业（工种）</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bidi="ar"/>
          <w14:textFill>
            <w14:solidFill>
              <w14:schemeClr w14:val="tx1"/>
            </w14:solidFill>
          </w14:textFill>
        </w:rPr>
        <w:t>设置</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比赛项目</w:t>
      </w:r>
      <w:r>
        <w:rPr>
          <w:rFonts w:hint="eastAsia" w:ascii="仿宋_GB2312" w:hAnsi="仿宋_GB2312" w:eastAsia="仿宋_GB2312" w:cs="仿宋_GB2312"/>
          <w:i w:val="0"/>
          <w:caps w:val="0"/>
          <w:color w:val="000000" w:themeColor="text1"/>
          <w:spacing w:val="0"/>
          <w:kern w:val="0"/>
          <w:sz w:val="32"/>
          <w:szCs w:val="32"/>
          <w:highlight w:val="none"/>
          <w:shd w:val="clear" w:color="auto" w:fill="auto"/>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一</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竞赛原则上按照国家职业（技能）标准组织命题，并适当增加新知识、新技术、新工艺和新技能等方面的内容。</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无对应国家职业技能标准的</w:t>
      </w:r>
      <w:r>
        <w:rPr>
          <w:rFonts w:hint="eastAsia" w:ascii="仿宋_GB2312" w:hAnsi="仿宋_GB2312" w:eastAsia="仿宋_GB2312" w:cs="仿宋_GB2312"/>
          <w:color w:val="000000" w:themeColor="text1"/>
          <w:spacing w:val="0"/>
          <w:sz w:val="32"/>
          <w:szCs w:val="32"/>
          <w:lang w:val="en-US" w:eastAsia="zh-Hans"/>
          <w14:textFill>
            <w14:solidFill>
              <w14:schemeClr w14:val="tx1"/>
            </w14:solidFill>
          </w14:textFill>
        </w:rPr>
        <w:t>竞赛项目</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需</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参照行业企业评价规范确定竞赛标准。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竞赛</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按照国家职业技能标准</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编制技术</w:t>
      </w:r>
      <w:r>
        <w:rPr>
          <w:rFonts w:hint="eastAsia" w:ascii="仿宋_GB2312" w:hAnsi="仿宋_GB2312" w:eastAsia="仿宋_GB2312" w:cs="仿宋_GB2312"/>
          <w:color w:val="000000" w:themeColor="text1"/>
          <w:spacing w:val="0"/>
          <w:sz w:val="32"/>
          <w:szCs w:val="32"/>
          <w:lang w:val="en-US" w:eastAsia="zh-Hans"/>
          <w14:textFill>
            <w14:solidFill>
              <w14:schemeClr w14:val="tx1"/>
            </w14:solidFill>
          </w14:textFill>
        </w:rPr>
        <w:t>工作</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文件</w:t>
      </w:r>
      <w:r>
        <w:rPr>
          <w:rFonts w:hint="eastAsia" w:ascii="仿宋_GB2312" w:hAnsi="仿宋_GB2312" w:eastAsia="仿宋_GB2312" w:cs="仿宋_GB2312"/>
          <w:color w:val="000000" w:themeColor="text1"/>
          <w:spacing w:val="0"/>
          <w:sz w:val="32"/>
          <w:szCs w:val="32"/>
          <w:lang w:val="en-US" w:eastAsia="zh-Hans"/>
          <w14:textFill>
            <w14:solidFill>
              <w14:schemeClr w14:val="tx1"/>
            </w14:solidFill>
          </w14:textFill>
        </w:rPr>
        <w:t>和命制试题</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时</w:t>
      </w:r>
      <w:r>
        <w:rPr>
          <w:rFonts w:hint="eastAsia" w:ascii="仿宋_GB2312" w:hAnsi="仿宋_GB2312" w:eastAsia="仿宋_GB2312" w:cs="仿宋_GB2312"/>
          <w:b w:val="0"/>
          <w:i w:val="0"/>
          <w:caps w:val="0"/>
          <w:color w:val="000000" w:themeColor="text1"/>
          <w:spacing w:val="0"/>
          <w:kern w:val="2"/>
          <w:sz w:val="32"/>
          <w:szCs w:val="32"/>
          <w:u w:val="none"/>
          <w:lang w:eastAsia="zh-Hans"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原则上应按照</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三级/高级工相关要求</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2"/>
          <w:sz w:val="32"/>
          <w:szCs w:val="32"/>
          <w:u w:val="none"/>
          <w:lang w:val="en-US" w:eastAsia="zh-CN" w:bidi="ar"/>
          <w14:textFill>
            <w14:solidFill>
              <w14:schemeClr w14:val="tx1"/>
            </w14:solidFill>
          </w14:textFill>
        </w:rPr>
        <w:t>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竞赛</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按照国家职业技能标准</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编制技术</w:t>
      </w:r>
      <w:r>
        <w:rPr>
          <w:rFonts w:hint="eastAsia" w:ascii="仿宋_GB2312" w:hAnsi="仿宋_GB2312" w:eastAsia="仿宋_GB2312" w:cs="仿宋_GB2312"/>
          <w:color w:val="000000" w:themeColor="text1"/>
          <w:spacing w:val="0"/>
          <w:sz w:val="32"/>
          <w:szCs w:val="32"/>
          <w:lang w:val="en-US" w:eastAsia="zh-Hans"/>
          <w14:textFill>
            <w14:solidFill>
              <w14:schemeClr w14:val="tx1"/>
            </w14:solidFill>
          </w14:textFill>
        </w:rPr>
        <w:t>工作</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文件</w:t>
      </w:r>
      <w:r>
        <w:rPr>
          <w:rFonts w:hint="eastAsia" w:ascii="仿宋_GB2312" w:hAnsi="仿宋_GB2312" w:eastAsia="仿宋_GB2312" w:cs="仿宋_GB2312"/>
          <w:color w:val="000000" w:themeColor="text1"/>
          <w:spacing w:val="0"/>
          <w:sz w:val="32"/>
          <w:szCs w:val="32"/>
          <w:lang w:val="en-US" w:eastAsia="zh-Hans"/>
          <w14:textFill>
            <w14:solidFill>
              <w14:schemeClr w14:val="tx1"/>
            </w14:solidFill>
          </w14:textFill>
        </w:rPr>
        <w:t>和命制试题</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时</w:t>
      </w:r>
      <w:r>
        <w:rPr>
          <w:rFonts w:hint="eastAsia" w:ascii="仿宋_GB2312" w:hAnsi="仿宋_GB2312" w:eastAsia="仿宋_GB2312" w:cs="仿宋_GB2312"/>
          <w:b w:val="0"/>
          <w:i w:val="0"/>
          <w:caps w:val="0"/>
          <w:color w:val="000000" w:themeColor="text1"/>
          <w:spacing w:val="0"/>
          <w:kern w:val="2"/>
          <w:sz w:val="32"/>
          <w:szCs w:val="32"/>
          <w:u w:val="none"/>
          <w:lang w:eastAsia="zh-Hans"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原则上应按照</w:t>
      </w:r>
      <w:r>
        <w:rPr>
          <w:rFonts w:hint="eastAsia" w:ascii="仿宋_GB2312" w:hAnsi="仿宋_GB2312" w:eastAsia="仿宋_GB2312" w:cs="仿宋_GB2312"/>
          <w:b w:val="0"/>
          <w:i w:val="0"/>
          <w:caps w:val="0"/>
          <w:color w:val="000000" w:themeColor="text1"/>
          <w:spacing w:val="0"/>
          <w:kern w:val="2"/>
          <w:sz w:val="32"/>
          <w:szCs w:val="32"/>
          <w:u w:val="none"/>
          <w:lang w:val="en-US" w:eastAsia="zh-CN" w:bidi="ar"/>
          <w14:textFill>
            <w14:solidFill>
              <w14:schemeClr w14:val="tx1"/>
            </w14:solidFill>
          </w14:textFill>
        </w:rPr>
        <w:t>四</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级/</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中</w:t>
      </w:r>
      <w:r>
        <w:rPr>
          <w:rFonts w:hint="eastAsia" w:ascii="仿宋_GB2312" w:hAnsi="仿宋_GB2312" w:eastAsia="仿宋_GB2312" w:cs="仿宋_GB2312"/>
          <w:color w:val="000000" w:themeColor="text1"/>
          <w:spacing w:val="0"/>
          <w:sz w:val="32"/>
          <w:szCs w:val="32"/>
          <w:lang w:eastAsia="zh-Hans"/>
          <w14:textFill>
            <w14:solidFill>
              <w14:schemeClr w14:val="tx1"/>
            </w14:solidFill>
          </w14:textFill>
        </w:rPr>
        <w:t>级工相关要求</w:t>
      </w:r>
      <w:r>
        <w:rPr>
          <w:rFonts w:hint="eastAsia" w:ascii="仿宋_GB2312" w:hAnsi="仿宋_GB2312" w:eastAsia="仿宋_GB2312" w:cs="仿宋_GB2312"/>
          <w:b w:val="0"/>
          <w:i w:val="0"/>
          <w:caps w:val="0"/>
          <w:color w:val="000000" w:themeColor="text1"/>
          <w:spacing w:val="0"/>
          <w:kern w:val="2"/>
          <w:sz w:val="32"/>
          <w:szCs w:val="32"/>
          <w:u w:val="none"/>
          <w:lang w:val="en-US" w:eastAsia="zh-Hans"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32" w:firstLineChars="200"/>
        <w:textAlignment w:val="auto"/>
        <w:outlineLvl w:val="9"/>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二</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竞赛内容应涵盖理论知识和技能操作部分，</w:t>
      </w:r>
      <w:r>
        <w:rPr>
          <w:rFonts w:hint="eastAsia" w:ascii="仿宋_GB2312" w:hAnsi="仿宋_GB2312" w:eastAsia="仿宋_GB2312" w:cs="仿宋_GB2312"/>
          <w:color w:val="000000" w:themeColor="text1"/>
          <w:spacing w:val="-6"/>
          <w:sz w:val="32"/>
          <w:szCs w:val="32"/>
          <w:u w:val="none"/>
          <w:lang w:val="en-US" w:eastAsia="zh-Hans" w:bidi="ar"/>
          <w14:textFill>
            <w14:solidFill>
              <w14:schemeClr w14:val="tx1"/>
            </w14:solidFill>
          </w14:textFill>
        </w:rPr>
        <w:t>可不单独设置理论知识考试</w:t>
      </w:r>
      <w:r>
        <w:rPr>
          <w:rFonts w:hint="eastAsia" w:ascii="仿宋_GB2312" w:hAnsi="仿宋_GB2312" w:eastAsia="仿宋_GB2312" w:cs="仿宋_GB2312"/>
          <w:color w:val="000000" w:themeColor="text1"/>
          <w:spacing w:val="-6"/>
          <w:sz w:val="32"/>
          <w:szCs w:val="32"/>
          <w:u w:val="none"/>
          <w:lang w:eastAsia="zh-Hans" w:bidi="ar"/>
          <w14:textFill>
            <w14:solidFill>
              <w14:schemeClr w14:val="tx1"/>
            </w14:solidFill>
          </w14:textFill>
        </w:rPr>
        <w:t>，</w:t>
      </w:r>
      <w:r>
        <w:rPr>
          <w:rFonts w:hint="eastAsia" w:ascii="仿宋_GB2312" w:hAnsi="仿宋_GB2312" w:eastAsia="仿宋_GB2312" w:cs="仿宋_GB2312"/>
          <w:color w:val="000000" w:themeColor="text1"/>
          <w:spacing w:val="-6"/>
          <w:sz w:val="32"/>
          <w:szCs w:val="32"/>
          <w:u w:val="none"/>
          <w:lang w:val="en-US" w:eastAsia="zh-Hans" w:bidi="ar"/>
          <w14:textFill>
            <w14:solidFill>
              <w14:schemeClr w14:val="tx1"/>
            </w14:solidFill>
          </w14:textFill>
        </w:rPr>
        <w:t>但需将其融入操作技能中进行考核</w:t>
      </w:r>
      <w:r>
        <w:rPr>
          <w:rFonts w:hint="eastAsia" w:ascii="仿宋_GB2312" w:hAnsi="仿宋_GB2312" w:eastAsia="仿宋_GB2312" w:cs="仿宋_GB2312"/>
          <w:color w:val="000000" w:themeColor="text1"/>
          <w:spacing w:val="-6"/>
          <w:sz w:val="32"/>
          <w:szCs w:val="32"/>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6"/>
          <w:sz w:val="32"/>
          <w:szCs w:val="32"/>
          <w:u w:val="none"/>
          <w:lang w:val="en-US" w:eastAsia="zh-Hans" w:bidi="ar"/>
          <w14:textFill>
            <w14:solidFill>
              <w14:schemeClr w14:val="tx1"/>
            </w14:solidFill>
          </w14:textFill>
        </w:rPr>
        <w:t>操作技能成绩权重原则上不低于70%。</w:t>
      </w:r>
      <w:r>
        <w:rPr>
          <w:rFonts w:hint="eastAsia" w:ascii="仿宋_GB2312" w:hAnsi="仿宋_GB2312" w:eastAsia="仿宋_GB2312" w:cs="仿宋_GB2312"/>
          <w:color w:val="000000" w:themeColor="text1"/>
          <w:spacing w:val="-6"/>
          <w:sz w:val="32"/>
          <w:szCs w:val="32"/>
          <w:u w:val="none"/>
          <w:lang w:val="en-US" w:eastAsia="zh-CN" w:bidi="ar"/>
          <w14:textFill>
            <w14:solidFill>
              <w14:schemeClr w14:val="tx1"/>
            </w14:solidFill>
          </w14:textFill>
        </w:rPr>
        <w:t>省级以上竞赛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市选拔赛按照有关要求执行。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三</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职业技能竞赛主办单位应根据赛事特点，明确参赛选手报名条件，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原则上不限制</w:t>
      </w:r>
      <w:bookmarkStart w:id="0" w:name="_GoBack"/>
      <w:bookmarkEnd w:id="0"/>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总</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报名人数</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全市职业技能竞赛决赛，参赛选手可</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通过初赛、复赛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形式</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选拔</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产生</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，决赛人数</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原则上</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0人。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四</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报名参加市内各级各类竞赛的人员，应当</w:t>
      </w:r>
      <w:r>
        <w:rPr>
          <w:rFonts w:hint="eastAsia" w:ascii="仿宋_GB2312" w:hAnsi="仿宋_GB2312" w:eastAsia="仿宋_GB2312" w:cs="仿宋_GB2312"/>
          <w:color w:val="000000" w:themeColor="text1"/>
          <w:spacing w:val="-6"/>
          <w:sz w:val="32"/>
          <w:szCs w:val="32"/>
          <w:highlight w:val="none"/>
          <w:u w:val="none"/>
          <w:lang w:val="en-US" w:eastAsia="zh-CN" w:bidi="ar"/>
          <w14:textFill>
            <w14:solidFill>
              <w14:schemeClr w14:val="tx1"/>
            </w14:solidFill>
          </w14:textFill>
        </w:rPr>
        <w:t>在我市工作、学习或居住满一年以上，年龄满16周岁以上、法定退休年龄以内。</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已获得</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中华技能大奖</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全国技术能手</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”“南粤技术能手”“广东省技术能手”</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等荣誉</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不以选手身份参赛，</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已获得“韶关市技术能手”</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的选手，不</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以选手身份</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参加同一项目同一组别或更低等级</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的比赛。国家、省赛另有规定的除外</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五</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14:textFill>
            <w14:solidFill>
              <w14:schemeClr w14:val="tx1"/>
            </w14:solidFill>
          </w14:textFill>
        </w:rPr>
        <w:t>职业技能竞赛的组织实施流程包括开闭幕式、竞赛实施、宣传等工作环节。开闭幕式应节俭、精简，突出大赛主题特点。鼓励大赛同期开展技能展示、绝技展演、论坛研讨等配套活动；鼓励有条件的单位通过互联网平台安排赛事直播、云端观赛，</w:t>
      </w:r>
      <w:r>
        <w:rPr>
          <w:rFonts w:hint="default" w:ascii="Times New Roman" w:hAnsi="Times New Roman" w:cs="Times New Roman"/>
          <w:color w:val="000000" w:themeColor="text1"/>
          <w:sz w:val="32"/>
          <w:szCs w:val="32"/>
          <w:lang w:eastAsia="zh-CN"/>
          <w14:textFill>
            <w14:solidFill>
              <w14:schemeClr w14:val="tx1"/>
            </w14:solidFill>
          </w14:textFill>
        </w:rPr>
        <w:t>拓</w:t>
      </w:r>
      <w:r>
        <w:rPr>
          <w:rFonts w:hint="default" w:ascii="Times New Roman" w:hAnsi="Times New Roman" w:eastAsia="仿宋_GB2312" w:cs="Times New Roman"/>
          <w:color w:val="000000" w:themeColor="text1"/>
          <w:sz w:val="32"/>
          <w:szCs w:val="32"/>
          <w14:textFill>
            <w14:solidFill>
              <w14:schemeClr w14:val="tx1"/>
            </w14:solidFill>
          </w14:textFill>
        </w:rPr>
        <w:t>宽社会公众参与渠道。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pacing w:val="-6"/>
          <w:sz w:val="32"/>
          <w:szCs w:val="32"/>
          <w:highlight w:val="none"/>
          <w:u w:val="none"/>
          <w:lang w:bidi="ar"/>
          <w14:textFill>
            <w14:solidFill>
              <w14:schemeClr w14:val="tx1"/>
            </w14:solidFill>
          </w14:textFill>
        </w:rPr>
        <w:t>第</w:t>
      </w:r>
      <w:r>
        <w:rPr>
          <w:rFonts w:hint="default" w:ascii="Times New Roman" w:hAnsi="Times New Roman" w:eastAsia="黑体" w:cs="Times New Roman"/>
          <w:color w:val="000000" w:themeColor="text1"/>
          <w:spacing w:val="-6"/>
          <w:sz w:val="32"/>
          <w:szCs w:val="32"/>
          <w:highlight w:val="none"/>
          <w:u w:val="none"/>
          <w:lang w:val="en-US" w:eastAsia="zh-CN" w:bidi="ar"/>
          <w14:textFill>
            <w14:solidFill>
              <w14:schemeClr w14:val="tx1"/>
            </w14:solidFill>
          </w14:textFill>
        </w:rPr>
        <w:t>二十</w:t>
      </w:r>
      <w:r>
        <w:rPr>
          <w:rFonts w:hint="eastAsia" w:ascii="Times New Roman" w:hAnsi="Times New Roman" w:eastAsia="黑体" w:cs="Times New Roman"/>
          <w:color w:val="000000" w:themeColor="text1"/>
          <w:spacing w:val="-6"/>
          <w:sz w:val="32"/>
          <w:szCs w:val="32"/>
          <w:highlight w:val="none"/>
          <w:u w:val="none"/>
          <w:lang w:val="en-US" w:eastAsia="zh-CN" w:bidi="ar"/>
          <w14:textFill>
            <w14:solidFill>
              <w14:schemeClr w14:val="tx1"/>
            </w14:solidFill>
          </w14:textFill>
        </w:rPr>
        <w:t>六</w:t>
      </w:r>
      <w:r>
        <w:rPr>
          <w:rFonts w:hint="default" w:ascii="Times New Roman" w:hAnsi="Times New Roman" w:eastAsia="黑体" w:cs="Times New Roman"/>
          <w:color w:val="000000" w:themeColor="text1"/>
          <w:spacing w:val="-6"/>
          <w:sz w:val="32"/>
          <w:szCs w:val="32"/>
          <w:highlight w:val="none"/>
          <w:u w:val="none"/>
          <w:lang w:bidi="ar"/>
          <w14:textFill>
            <w14:solidFill>
              <w14:schemeClr w14:val="tx1"/>
            </w14:solidFill>
          </w14:textFill>
        </w:rPr>
        <w:t>条</w:t>
      </w:r>
      <w:r>
        <w:rPr>
          <w:rFonts w:hint="eastAsia" w:ascii="Times New Roman" w:hAnsi="Times New Roman" w:eastAsia="黑体" w:cs="Times New Roman"/>
          <w:color w:val="000000" w:themeColor="text1"/>
          <w:spacing w:val="-6"/>
          <w:sz w:val="32"/>
          <w:szCs w:val="32"/>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职业技能竞赛各单位要根据国家和当地生产安全、卫生防疫要求以及赛项职业安全要求，严格做好赛事实施、安保、疫情防控等各项工作，确保竞赛工作安全顺利进行。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各级人力资源社会保障部门要加强竞赛工作的管理监督，切实</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赛事安全、竞赛</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水平和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质量。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pacing w:val="-6"/>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二十</w:t>
      </w:r>
      <w:r>
        <w:rPr>
          <w:rFonts w:hint="eastAsia"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七</w:t>
      </w:r>
      <w:r>
        <w:rPr>
          <w:rFonts w:hint="default" w:ascii="Times New Roman" w:hAnsi="Times New Roman" w:eastAsia="黑体" w:cs="Times New Roman"/>
          <w:color w:val="000000" w:themeColor="text1"/>
          <w:spacing w:val="-6"/>
          <w:sz w:val="32"/>
          <w:szCs w:val="32"/>
          <w:highlight w:val="none"/>
          <w:u w:val="none"/>
          <w14:textFill>
            <w14:solidFill>
              <w14:schemeClr w14:val="tx1"/>
            </w14:solidFill>
          </w14:textFill>
        </w:rPr>
        <w:t>条</w:t>
      </w:r>
      <w:r>
        <w:rPr>
          <w:rFonts w:hint="default"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highlight w:val="none"/>
          <w:u w:val="none"/>
          <w:lang w:val="en-US"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级、县级</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职业技能竞赛结束后，主办单位应</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将</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竞赛</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成绩公示</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5个工作日，</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并</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公示无异议后</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个</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工作日内将竞赛工作总结、职业技能竞赛情况表</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表2</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、竞赛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获奖</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选手情况表</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表3</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经</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裁判签名确认的竞赛成绩总表报</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至市</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人力资源社会保障部门。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pacing w:val="-6"/>
          <w:sz w:val="32"/>
          <w:szCs w:val="32"/>
          <w:highlight w:val="none"/>
          <w:u w:val="none"/>
          <w14:textFill>
            <w14:solidFill>
              <w14:schemeClr w14:val="tx1"/>
            </w14:solidFill>
          </w14:textFill>
        </w:rPr>
        <w:t>第</w:t>
      </w:r>
      <w:r>
        <w:rPr>
          <w:rFonts w:hint="default"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二十</w:t>
      </w:r>
      <w:r>
        <w:rPr>
          <w:rFonts w:hint="eastAsia"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八</w:t>
      </w:r>
      <w:r>
        <w:rPr>
          <w:rFonts w:hint="default" w:ascii="Times New Roman" w:hAnsi="Times New Roman" w:eastAsia="黑体" w:cs="Times New Roman"/>
          <w:color w:val="000000" w:themeColor="text1"/>
          <w:spacing w:val="-6"/>
          <w:sz w:val="32"/>
          <w:szCs w:val="32"/>
          <w:highlight w:val="none"/>
          <w:u w:val="none"/>
          <w14:textFill>
            <w14:solidFill>
              <w14:schemeClr w14:val="tx1"/>
            </w14:solidFill>
          </w14:textFill>
        </w:rPr>
        <w:t>条</w:t>
      </w:r>
      <w:r>
        <w:rPr>
          <w:rFonts w:hint="default" w:ascii="Times New Roman" w:hAnsi="Times New Roman" w:eastAsia="黑体" w:cs="Times New Roman"/>
          <w:color w:val="000000" w:themeColor="text1"/>
          <w:spacing w:val="-6"/>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u w:val="none"/>
          <w:lang w:eastAsia="zh-Hans" w:bidi="ar"/>
          <w14:textFill>
            <w14:solidFill>
              <w14:schemeClr w14:val="tx1"/>
            </w14:solidFill>
          </w14:textFill>
        </w:rPr>
        <w:t>倡导建立和完善竞赛资源及成果的总结、转化、推广机制。竞赛资源及成果转化应符合相关行业生产、职业技术发展、个人技能提升等方面的要求，反映先进竞赛理念，推动竞赛成果在相关领域的应用和转化。</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五</w:t>
      </w: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 xml:space="preserve">章 </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表扬</w:t>
      </w:r>
      <w:r>
        <w:rPr>
          <w:rStyle w:val="7"/>
          <w:rFonts w:hint="eastAsia"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激</w:t>
      </w: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励</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第二十九条</w:t>
      </w:r>
      <w:r>
        <w:rPr>
          <w:rFonts w:hint="default" w:ascii="Times New Roman" w:hAnsi="Times New Roman" w:eastAsia="仿宋_GB2312" w:cs="Times New Roman"/>
          <w:color w:val="000000" w:themeColor="text1"/>
          <w:sz w:val="32"/>
          <w:szCs w:val="32"/>
          <w:highlight w:val="none"/>
          <w:u w:val="none"/>
          <w:lang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职业技能竞赛获得优秀名次的选手、</w:t>
      </w:r>
      <w:r>
        <w:rPr>
          <w:rFonts w:hint="eastAsia" w:ascii="仿宋_GB2312" w:hAnsi="仿宋_GB2312" w:eastAsia="仿宋_GB2312" w:cs="仿宋_GB2312"/>
          <w:color w:val="000000" w:themeColor="text1"/>
          <w:sz w:val="32"/>
          <w:szCs w:val="20"/>
          <w14:textFill>
            <w14:solidFill>
              <w14:schemeClr w14:val="tx1"/>
            </w14:solidFill>
          </w14:textFill>
        </w:rPr>
        <w:t>技术指导专家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以及在竞赛工作中表现突出的有关单位及个人，按照有关规定给予表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扬激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20"/>
          <w14:textFill>
            <w14:solidFill>
              <w14:schemeClr w14:val="tx1"/>
            </w14:solidFill>
          </w14:textFill>
        </w:rPr>
        <w:t>对获得</w:t>
      </w:r>
      <w:r>
        <w:rPr>
          <w:rFonts w:hint="eastAsia" w:ascii="仿宋_GB2312" w:hAnsi="仿宋_GB2312" w:eastAsia="仿宋_GB2312" w:cs="仿宋_GB2312"/>
          <w:color w:val="000000" w:themeColor="text1"/>
          <w:sz w:val="32"/>
          <w:szCs w:val="20"/>
          <w:lang w:eastAsia="zh-CN"/>
          <w14:textFill>
            <w14:solidFill>
              <w14:schemeClr w14:val="tx1"/>
            </w14:solidFill>
          </w14:textFill>
        </w:rPr>
        <w:t>市</w:t>
      </w:r>
      <w:r>
        <w:rPr>
          <w:rFonts w:hint="eastAsia" w:ascii="仿宋_GB2312" w:hAnsi="仿宋_GB2312" w:eastAsia="仿宋_GB2312" w:cs="仿宋_GB2312"/>
          <w:color w:val="000000" w:themeColor="text1"/>
          <w:sz w:val="32"/>
          <w:szCs w:val="20"/>
          <w14:textFill>
            <w14:solidFill>
              <w14:schemeClr w14:val="tx1"/>
            </w14:solidFill>
          </w14:textFill>
        </w:rPr>
        <w:t>级以上职业技能竞赛奖项选手和指导老师的</w:t>
      </w:r>
      <w:r>
        <w:rPr>
          <w:rFonts w:hint="eastAsia" w:ascii="仿宋_GB2312" w:hAnsi="仿宋_GB2312" w:eastAsia="仿宋_GB2312" w:cs="仿宋_GB2312"/>
          <w:color w:val="000000" w:themeColor="text1"/>
          <w:sz w:val="32"/>
          <w:szCs w:val="20"/>
          <w:lang w:eastAsia="zh-CN"/>
          <w14:textFill>
            <w14:solidFill>
              <w14:schemeClr w14:val="tx1"/>
            </w14:solidFill>
          </w14:textFill>
        </w:rPr>
        <w:t>激</w:t>
      </w:r>
      <w:r>
        <w:rPr>
          <w:rFonts w:hint="eastAsia" w:ascii="仿宋_GB2312" w:hAnsi="仿宋_GB2312" w:eastAsia="仿宋_GB2312" w:cs="仿宋_GB2312"/>
          <w:color w:val="000000" w:themeColor="text1"/>
          <w:sz w:val="32"/>
          <w:szCs w:val="20"/>
          <w14:textFill>
            <w14:solidFill>
              <w14:schemeClr w14:val="tx1"/>
            </w14:solidFill>
          </w14:textFill>
        </w:rPr>
        <w:t>励，</w:t>
      </w:r>
      <w:r>
        <w:rPr>
          <w:rFonts w:hint="eastAsia" w:ascii="仿宋_GB2312" w:hAnsi="仿宋_GB2312" w:eastAsia="仿宋_GB2312" w:cs="仿宋_GB2312"/>
          <w:color w:val="000000" w:themeColor="text1"/>
          <w:sz w:val="32"/>
          <w:szCs w:val="20"/>
          <w:lang w:eastAsia="zh-CN"/>
          <w14:textFill>
            <w14:solidFill>
              <w14:schemeClr w14:val="tx1"/>
            </w14:solidFill>
          </w14:textFill>
        </w:rPr>
        <w:t>可</w:t>
      </w:r>
      <w:r>
        <w:rPr>
          <w:rFonts w:hint="eastAsia" w:ascii="仿宋_GB2312" w:hAnsi="仿宋_GB2312" w:eastAsia="仿宋_GB2312" w:cs="仿宋_GB2312"/>
          <w:color w:val="000000" w:themeColor="text1"/>
          <w:sz w:val="32"/>
          <w:szCs w:val="20"/>
          <w14:textFill>
            <w14:solidFill>
              <w14:schemeClr w14:val="tx1"/>
            </w14:solidFill>
          </w14:textFill>
        </w:rPr>
        <w:t>纳入单位奖励性绩效单列管理，不计入单位绩效工资总量调控基数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beforeAutospacing="0" w:afterAutospacing="0" w:line="60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第三十条</w:t>
      </w:r>
      <w:r>
        <w:rPr>
          <w:rFonts w:hint="default" w:ascii="Times New Roman" w:hAnsi="Times New Roman" w:eastAsia="仿宋_GB2312" w:cs="Times New Roman"/>
          <w:color w:val="000000" w:themeColor="text1"/>
          <w:sz w:val="32"/>
          <w:szCs w:val="32"/>
          <w:highlight w:val="none"/>
          <w:u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对获得世界技能大赛和中华人民共和国职业技能大赛优胜奖以上的我市选手及技术指导专家组按规定可给予物质激励，纳入表扬激励范围的技术指导专家每项目不超过2名。</w:t>
      </w:r>
    </w:p>
    <w:p>
      <w:pPr>
        <w:pStyle w:val="4"/>
        <w:keepNext w:val="0"/>
        <w:keepLines w:val="0"/>
        <w:pageBreakBefore w:val="0"/>
        <w:kinsoku/>
        <w:overflowPunct/>
        <w:topLinePunct w:val="0"/>
        <w:autoSpaceDE/>
        <w:autoSpaceDN/>
        <w:bidi w:val="0"/>
        <w:spacing w:beforeAutospacing="0" w:afterAutospacing="0" w:line="600" w:lineRule="exact"/>
        <w:ind w:firstLine="632"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第三十一条 </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对获得省级以上职业技能大赛金牌以上的选手，按相关规定，优先推荐参评</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bidi="ar"/>
          <w14:textFill>
            <w14:solidFill>
              <w14:schemeClr w14:val="tx1"/>
            </w14:solidFill>
          </w14:textFill>
        </w:rPr>
        <w:t>韶关</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青年</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bidi="ar"/>
          <w14:textFill>
            <w14:solidFill>
              <w14:schemeClr w14:val="tx1"/>
            </w14:solidFill>
          </w14:textFill>
        </w:rPr>
        <w:t>五四奖章</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bidi="ar"/>
          <w14:textFill>
            <w14:solidFill>
              <w14:schemeClr w14:val="tx1"/>
            </w14:solidFill>
          </w14:textFill>
        </w:rPr>
        <w:t>韶关市</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bidi="ar"/>
          <w14:textFill>
            <w14:solidFill>
              <w14:schemeClr w14:val="tx1"/>
            </w14:solidFill>
          </w14:textFill>
        </w:rPr>
        <w:t>三八红旗手</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bidi="ar"/>
          <w14:textFill>
            <w14:solidFill>
              <w14:schemeClr w14:val="tx1"/>
            </w14:solidFill>
          </w14:textFill>
        </w:rPr>
        <w:t>和工会系统各类荣誉</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bidi="ar"/>
          <w14:textFill>
            <w14:solidFill>
              <w14:schemeClr w14:val="tx1"/>
            </w14:solidFill>
          </w14:textFill>
        </w:rPr>
        <w:t>各级各类表扬激励</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bidi="ar"/>
          <w14:textFill>
            <w14:solidFill>
              <w14:schemeClr w14:val="tx1"/>
            </w14:solidFill>
          </w14:textFill>
        </w:rPr>
        <w:t>由</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bidi="ar"/>
          <w14:textFill>
            <w14:solidFill>
              <w14:schemeClr w14:val="tx1"/>
            </w14:solidFill>
          </w14:textFill>
        </w:rPr>
        <w:t>相关部门核准后颁发相应证书和奖章。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default" w:ascii="Times New Roman" w:hAnsi="Times New Roman" w:eastAsia="宋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第三十二条</w:t>
      </w:r>
      <w:r>
        <w:rPr>
          <w:rFonts w:hint="default" w:ascii="Times New Roman" w:hAnsi="Times New Roman" w:eastAsia="仿宋_GB2312" w:cs="Times New Roman"/>
          <w:color w:val="000000" w:themeColor="text1"/>
          <w:sz w:val="32"/>
          <w:szCs w:val="32"/>
          <w:highlight w:val="none"/>
          <w:u w:val="none"/>
          <w:lang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全</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职业技能</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竞</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赛</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每赛项</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可设置金、银、铜牌</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原则上金牌1人（队）、银牌1人（队）、铜牌1人（队）；参加决赛人数在60人（含60人）以上的，可原则上按1:2:3的比例分设</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一二三等奖，</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获奖人数占比不超过决赛总人数的20%</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；对未获得上述奖项</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但</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在参赛总人数</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0%以内的选手可颁发优胜奖。</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参赛人数</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少的赛项</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其</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设奖比例</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可据实</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核减。</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对</w:t>
      </w:r>
      <w:r>
        <w:rPr>
          <w:rFonts w:hint="eastAsia" w:ascii="仿宋_GB2312" w:hAnsi="仿宋_GB2312" w:eastAsia="仿宋_GB2312" w:cs="仿宋_GB2312"/>
          <w:i w:val="0"/>
          <w:caps w:val="0"/>
          <w:color w:val="000000" w:themeColor="text1"/>
          <w:spacing w:val="0"/>
          <w:kern w:val="2"/>
          <w:sz w:val="32"/>
          <w:szCs w:val="32"/>
          <w:highlight w:val="none"/>
          <w:u w:val="none"/>
          <w:shd w:val="clear" w:color="auto" w:fill="auto"/>
          <w:lang w:bidi="ar"/>
          <w14:textFill>
            <w14:solidFill>
              <w14:schemeClr w14:val="tx1"/>
            </w14:solidFill>
          </w14:textFill>
        </w:rPr>
        <w:t>做出</w:t>
      </w:r>
      <w:r>
        <w:rPr>
          <w:rFonts w:hint="eastAsia" w:ascii="仿宋_GB2312" w:hAnsi="仿宋_GB2312" w:eastAsia="仿宋_GB2312" w:cs="仿宋_GB2312"/>
          <w:color w:val="000000" w:themeColor="text1"/>
          <w:sz w:val="32"/>
          <w:szCs w:val="32"/>
          <w:highlight w:val="none"/>
          <w:u w:val="none"/>
          <w:lang w:val="en-US" w:eastAsia="zh-CN" w:bidi="ar"/>
          <w14:textFill>
            <w14:solidFill>
              <w14:schemeClr w14:val="tx1"/>
            </w14:solidFill>
          </w14:textFill>
        </w:rPr>
        <w:t>突出贡献的专家、</w:t>
      </w:r>
      <w:r>
        <w:rPr>
          <w:rFonts w:hint="eastAsia" w:ascii="仿宋_GB2312" w:hAnsi="仿宋_GB2312" w:eastAsia="仿宋_GB2312" w:cs="仿宋_GB2312"/>
          <w:i w:val="0"/>
          <w:caps w:val="0"/>
          <w:color w:val="000000" w:themeColor="text1"/>
          <w:spacing w:val="0"/>
          <w:kern w:val="2"/>
          <w:sz w:val="32"/>
          <w:szCs w:val="32"/>
          <w:highlight w:val="none"/>
          <w:u w:val="none"/>
          <w:shd w:val="clear" w:color="auto" w:fill="auto"/>
          <w:lang w:bidi="ar"/>
          <w14:textFill>
            <w14:solidFill>
              <w14:schemeClr w14:val="tx1"/>
            </w14:solidFill>
          </w14:textFill>
        </w:rPr>
        <w:t>裁判员</w:t>
      </w:r>
      <w:r>
        <w:rPr>
          <w:rFonts w:hint="eastAsia" w:ascii="仿宋_GB2312" w:hAnsi="仿宋_GB2312" w:eastAsia="仿宋_GB2312" w:cs="仿宋_GB2312"/>
          <w:i w:val="0"/>
          <w:caps w:val="0"/>
          <w:color w:val="000000" w:themeColor="text1"/>
          <w:spacing w:val="0"/>
          <w:kern w:val="2"/>
          <w:sz w:val="32"/>
          <w:szCs w:val="32"/>
          <w:highlight w:val="none"/>
          <w:u w:val="none"/>
          <w:shd w:val="clear" w:color="auto" w:fill="auto"/>
          <w:lang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32"/>
          <w:szCs w:val="32"/>
          <w:highlight w:val="none"/>
          <w:u w:val="none"/>
          <w:shd w:val="clear" w:color="auto" w:fill="auto"/>
          <w:lang w:val="en-US" w:eastAsia="zh-CN" w:bidi="ar"/>
          <w14:textFill>
            <w14:solidFill>
              <w14:schemeClr w14:val="tx1"/>
            </w14:solidFill>
          </w14:textFill>
        </w:rPr>
        <w:t>工作人员、技术支持单位、实施保障单位以及获奖选手</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指导教师或教练可颁发荣誉证书。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第三十三条 </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对获得市级竞赛以下名次的职工选手，经核准后，授予“韶关市技术能手”称号，颁发荣誉证书。称号不重复授予。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（一）参加决赛人数（职工选手人数，下同）在60人以上（含60人）的市级一类竞赛前4名（团体赛前2名），二类竞赛（含未纳入市级一类计划的省级以上职业技能竞赛市选拔赛，下同）前2名（团体赛第1名）；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（二）参加决赛人数在40至59人之间的市级一类竞赛前2名（团体赛第1名），二类竞赛第1名；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（三）参加决赛人数在20至39人之间的市级一类、二类竞赛第1名。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举办中级（含中级）以下职业标准的竞赛和学生类的竞赛，不授予“韶关市技术能手”称号。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第三十四条 </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对纳入</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职业技能竞赛计划的</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获得竞赛优胜奖及以上名次的选手，</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相应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人力资源社会保障部门按</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有关要求组织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核发相应职业（工种）的职业资格证书</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职业技能等级证书。</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相同职业（工种）、级别的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职业资格证书</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职业技能等级证书</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不重复颁发。</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第三十五条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对以国家职业技能标准四级/中级工为竞赛标准，原已取得四级/中级工职业资格（职业技能等级）并获得竞赛前三名的选手，可晋升为三级/高级工。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六</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鼓励</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各县（市、区）</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、各单位完善竞赛激励政策，</w:t>
      </w:r>
      <w:r>
        <w:rPr>
          <w:rFonts w:hint="eastAsia" w:ascii="仿宋_GB2312" w:hAnsi="仿宋_GB2312" w:eastAsia="仿宋_GB2312" w:cs="仿宋_GB2312"/>
          <w:color w:val="000000" w:themeColor="text1"/>
          <w:sz w:val="32"/>
          <w:szCs w:val="20"/>
          <w14:textFill>
            <w14:solidFill>
              <w14:schemeClr w14:val="tx1"/>
            </w14:solidFill>
          </w14:textFill>
        </w:rPr>
        <w:t>鼓励支持</w:t>
      </w:r>
      <w:r>
        <w:rPr>
          <w:rFonts w:hint="eastAsia" w:ascii="仿宋_GB2312" w:hAnsi="仿宋_GB2312" w:eastAsia="仿宋_GB2312" w:cs="仿宋_GB2312"/>
          <w:color w:val="000000" w:themeColor="text1"/>
          <w:sz w:val="32"/>
          <w:szCs w:val="20"/>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20"/>
          <w14:textFill>
            <w14:solidFill>
              <w14:schemeClr w14:val="tx1"/>
            </w14:solidFill>
          </w14:textFill>
        </w:rPr>
        <w:t>、各单位建立和完善参与竞赛工作的教练、专家、选手、专职工作人员等人才专业化培养和发展机制</w:t>
      </w:r>
      <w:r>
        <w:rPr>
          <w:rFonts w:hint="eastAsia" w:ascii="仿宋_GB2312" w:hAnsi="仿宋_GB2312" w:eastAsia="仿宋_GB2312" w:cs="仿宋_GB2312"/>
          <w:color w:val="000000" w:themeColor="text1"/>
          <w:sz w:val="32"/>
          <w:szCs w:val="20"/>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对竞赛获奖选手以及在选手培养、竞赛组织实施中作出突出贡献的单位和个人按照规定给予表</w:t>
      </w:r>
      <w:r>
        <w:rPr>
          <w:rFonts w:hint="eastAsia" w:ascii="仿宋_GB2312" w:hAnsi="仿宋_GB2312" w:eastAsia="仿宋_GB2312" w:cs="仿宋_GB2312"/>
          <w:color w:val="000000" w:themeColor="text1"/>
          <w:sz w:val="32"/>
          <w:szCs w:val="32"/>
          <w:highlight w:val="none"/>
          <w:u w:val="none"/>
          <w:lang w:eastAsia="zh-CN" w:bidi="ar"/>
          <w14:textFill>
            <w14:solidFill>
              <w14:schemeClr w14:val="tx1"/>
            </w14:solidFill>
          </w14:textFill>
        </w:rPr>
        <w:t>扬激</w:t>
      </w:r>
      <w:r>
        <w:rPr>
          <w:rFonts w:hint="eastAsia" w:ascii="仿宋_GB2312" w:hAnsi="仿宋_GB2312" w:eastAsia="仿宋_GB2312" w:cs="仿宋_GB2312"/>
          <w:color w:val="000000" w:themeColor="text1"/>
          <w:sz w:val="32"/>
          <w:szCs w:val="32"/>
          <w:highlight w:val="none"/>
          <w:u w:val="none"/>
          <w:lang w:bidi="ar"/>
          <w14:textFill>
            <w14:solidFill>
              <w14:schemeClr w14:val="tx1"/>
            </w14:solidFill>
          </w14:textFill>
        </w:rPr>
        <w:t>励。</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 xml:space="preserve">第六章 </w:t>
      </w:r>
      <w:r>
        <w:rPr>
          <w:rStyle w:val="7"/>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经费保障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七</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职业技能竞赛资金由主办、承办及协办等单位自筹解决。</w:t>
      </w:r>
      <w:r>
        <w:rPr>
          <w:rFonts w:hint="default"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举办职业技能竞赛应当厉行节约，严格控制活动规模和开支。</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对</w:t>
      </w:r>
      <w:r>
        <w:rPr>
          <w:rFonts w:hint="eastAsia"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人力资源社会保障部门牵头举办的</w:t>
      </w:r>
      <w:r>
        <w:rPr>
          <w:rFonts w:hint="default"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重点赛事</w:t>
      </w:r>
      <w:r>
        <w:rPr>
          <w:rFonts w:hint="default"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或</w:t>
      </w:r>
      <w:r>
        <w:rPr>
          <w:rFonts w:hint="eastAsia"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省</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级</w:t>
      </w:r>
      <w:r>
        <w:rPr>
          <w:rFonts w:hint="eastAsia"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职业技能大赛</w:t>
      </w:r>
      <w:r>
        <w:rPr>
          <w:rFonts w:hint="eastAsia"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选拔赛</w:t>
      </w:r>
      <w:r>
        <w:rPr>
          <w:rFonts w:hint="default"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的</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承办单位，</w:t>
      </w:r>
      <w:r>
        <w:rPr>
          <w:rFonts w:hint="default"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可从</w:t>
      </w:r>
      <w:r>
        <w:rPr>
          <w:rFonts w:hint="eastAsia"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市</w:t>
      </w:r>
      <w:r>
        <w:rPr>
          <w:rFonts w:hint="default" w:ascii="Times New Roman" w:hAnsi="Times New Roman" w:eastAsia="仿宋_GB2312" w:cs="Times New Roman"/>
          <w:color w:val="000000" w:themeColor="text1"/>
          <w:spacing w:val="-6"/>
          <w:sz w:val="32"/>
          <w:szCs w:val="32"/>
          <w:highlight w:val="none"/>
          <w:u w:val="none"/>
          <w:lang w:val="en-US" w:eastAsia="zh-CN"/>
          <w14:textFill>
            <w14:solidFill>
              <w14:schemeClr w14:val="tx1"/>
            </w14:solidFill>
          </w14:textFill>
        </w:rPr>
        <w:t>级及县财政安排用于职业技能竞赛的资金中给予适当补助</w:t>
      </w:r>
      <w:r>
        <w:rPr>
          <w:rFonts w:hint="default" w:ascii="Times New Roman" w:hAnsi="Times New Roman" w:eastAsia="仿宋_GB2312" w:cs="Times New Roman"/>
          <w:color w:val="000000" w:themeColor="text1"/>
          <w:sz w:val="32"/>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八</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职业技能竞赛主办、承办及协办单位应按规定列支办赛经费</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u w:val="none"/>
          <w:lang w:val="en-US" w:eastAsia="zh-CN"/>
          <w14:textFill>
            <w14:solidFill>
              <w14:schemeClr w14:val="tx1"/>
            </w14:solidFill>
          </w14:textFill>
        </w:rPr>
        <w:t>加强职业技能竞赛经费使用管理，落实绩效评价和专项审计，强化监督管理，提高资金使用绩效</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鼓励在不影响竞赛公平公正的情况下，</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按规定</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开展职业技能竞赛社会赞助工作。</w:t>
      </w:r>
      <w:r>
        <w:rPr>
          <w:rFonts w:hint="eastAsia" w:ascii="仿宋_GB2312" w:hAnsi="仿宋_GB2312" w:eastAsia="仿宋_GB2312" w:cs="仿宋_GB2312"/>
          <w:color w:val="000000" w:themeColor="text1"/>
          <w:spacing w:val="-6"/>
          <w:sz w:val="32"/>
          <w:szCs w:val="32"/>
          <w:highlight w:val="none"/>
          <w:u w:val="none"/>
          <w:lang w:eastAsia="zh-Hans"/>
          <w14:textFill>
            <w14:solidFill>
              <w14:schemeClr w14:val="tx1"/>
            </w14:solidFill>
          </w14:textFill>
        </w:rPr>
        <w:t>各级各类职业技能竞赛不得向选手、参赛单位收取参赛费用</w:t>
      </w:r>
      <w:r>
        <w:rPr>
          <w:rFonts w:hint="eastAsia" w:ascii="仿宋_GB2312" w:hAnsi="仿宋_GB2312" w:eastAsia="仿宋_GB2312" w:cs="仿宋_GB2312"/>
          <w:color w:val="000000" w:themeColor="text1"/>
          <w:spacing w:val="-6"/>
          <w:sz w:val="32"/>
          <w:szCs w:val="32"/>
          <w:highlight w:val="none"/>
          <w:u w:val="none"/>
          <w:lang w:eastAsia="zh-CN"/>
          <w14:textFill>
            <w14:solidFill>
              <w14:schemeClr w14:val="tx1"/>
            </w14:solidFill>
          </w14:textFill>
        </w:rPr>
        <w:t>，不得借竞赛之名从事相关营利活动。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spacing w:val="-6"/>
          <w:sz w:val="32"/>
          <w:szCs w:val="32"/>
          <w:highlight w:val="none"/>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第三十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九</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spacing w:val="-6"/>
          <w:sz w:val="32"/>
          <w:szCs w:val="32"/>
          <w:highlight w:val="none"/>
          <w:u w:val="none"/>
          <w:vertAlign w:val="baseline"/>
          <w:lang w:eastAsia="zh-CN"/>
          <w14:textFill>
            <w14:solidFill>
              <w14:schemeClr w14:val="tx1"/>
            </w14:solidFill>
          </w14:textFill>
        </w:rPr>
        <w:t>各县（市、区）承办的重要赛事，可根据实际向当地财政部门申请相关工作经费，规范资金</w:t>
      </w:r>
      <w:r>
        <w:rPr>
          <w:rFonts w:hint="eastAsia" w:ascii="仿宋_GB2312" w:hAnsi="仿宋_GB2312" w:eastAsia="仿宋_GB2312" w:cs="仿宋_GB2312"/>
          <w:color w:val="000000" w:themeColor="text1"/>
          <w:spacing w:val="-6"/>
          <w:sz w:val="32"/>
          <w:szCs w:val="32"/>
          <w:highlight w:val="none"/>
          <w:u w:val="none"/>
          <w:vertAlign w:val="baseline"/>
          <w:lang w:val="en-US" w:eastAsia="zh-CN"/>
          <w14:textFill>
            <w14:solidFill>
              <w14:schemeClr w14:val="tx1"/>
            </w14:solidFill>
          </w14:textFill>
        </w:rPr>
        <w:t>的</w:t>
      </w:r>
      <w:r>
        <w:rPr>
          <w:rFonts w:hint="eastAsia" w:ascii="仿宋_GB2312" w:hAnsi="仿宋_GB2312" w:eastAsia="仿宋_GB2312" w:cs="仿宋_GB2312"/>
          <w:color w:val="000000" w:themeColor="text1"/>
          <w:spacing w:val="-6"/>
          <w:sz w:val="32"/>
          <w:szCs w:val="32"/>
          <w:highlight w:val="none"/>
          <w:u w:val="none"/>
          <w:vertAlign w:val="baseline"/>
          <w:lang w:eastAsia="zh-CN"/>
          <w14:textFill>
            <w14:solidFill>
              <w14:schemeClr w14:val="tx1"/>
            </w14:solidFill>
          </w14:textFill>
        </w:rPr>
        <w:t>有效使用，接受</w:t>
      </w:r>
      <w:r>
        <w:rPr>
          <w:rFonts w:hint="eastAsia" w:ascii="仿宋_GB2312" w:hAnsi="仿宋_GB2312" w:eastAsia="仿宋_GB2312" w:cs="仿宋_GB2312"/>
          <w:color w:val="000000" w:themeColor="text1"/>
          <w:spacing w:val="-6"/>
          <w:sz w:val="32"/>
          <w:szCs w:val="32"/>
          <w:highlight w:val="none"/>
          <w:u w:val="none"/>
          <w:vertAlign w:val="baseline"/>
          <w:lang w:val="en-US" w:eastAsia="zh-CN"/>
          <w14:textFill>
            <w14:solidFill>
              <w14:schemeClr w14:val="tx1"/>
            </w14:solidFill>
          </w14:textFill>
        </w:rPr>
        <w:t>有关</w:t>
      </w:r>
      <w:r>
        <w:rPr>
          <w:rFonts w:hint="eastAsia" w:ascii="仿宋_GB2312" w:hAnsi="仿宋_GB2312" w:eastAsia="仿宋_GB2312" w:cs="仿宋_GB2312"/>
          <w:color w:val="000000" w:themeColor="text1"/>
          <w:spacing w:val="-6"/>
          <w:sz w:val="32"/>
          <w:szCs w:val="32"/>
          <w:highlight w:val="none"/>
          <w:u w:val="none"/>
          <w:vertAlign w:val="baseline"/>
          <w:lang w:eastAsia="zh-CN"/>
          <w14:textFill>
            <w14:solidFill>
              <w14:schemeClr w14:val="tx1"/>
            </w14:solidFill>
          </w14:textFill>
        </w:rPr>
        <w:t>部门的审计监督。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pacing w:val="0"/>
          <w:kern w:val="0"/>
          <w:sz w:val="32"/>
          <w:szCs w:val="32"/>
          <w:highlight w:val="none"/>
          <w:u w:val="none"/>
          <w:vertAlign w:val="baseline"/>
          <w:lang w:val="en-US" w:eastAsia="zh-CN" w:bidi="ar"/>
          <w14:textFill>
            <w14:solidFill>
              <w14:schemeClr w14:val="tx1"/>
            </w14:solidFill>
          </w14:textFill>
        </w:rPr>
        <w:t>第</w:t>
      </w:r>
      <w:r>
        <w:rPr>
          <w:rFonts w:hint="eastAsia" w:ascii="Times New Roman" w:hAnsi="Times New Roman" w:eastAsia="黑体" w:cs="Times New Roman"/>
          <w:color w:val="000000" w:themeColor="text1"/>
          <w:spacing w:val="0"/>
          <w:kern w:val="0"/>
          <w:sz w:val="32"/>
          <w:szCs w:val="32"/>
          <w:highlight w:val="none"/>
          <w:u w:val="none"/>
          <w:vertAlign w:val="baseline"/>
          <w:lang w:val="en-US" w:eastAsia="zh-CN" w:bidi="ar"/>
          <w14:textFill>
            <w14:solidFill>
              <w14:schemeClr w14:val="tx1"/>
            </w14:solidFill>
          </w14:textFill>
        </w:rPr>
        <w:t>四</w:t>
      </w:r>
      <w:r>
        <w:rPr>
          <w:rFonts w:hint="default" w:ascii="Times New Roman" w:hAnsi="Times New Roman" w:eastAsia="黑体" w:cs="Times New Roman"/>
          <w:color w:val="000000" w:themeColor="text1"/>
          <w:spacing w:val="0"/>
          <w:kern w:val="0"/>
          <w:sz w:val="32"/>
          <w:szCs w:val="32"/>
          <w:highlight w:val="none"/>
          <w:u w:val="none"/>
          <w:vertAlign w:val="baseline"/>
          <w:lang w:val="en-US" w:eastAsia="zh-CN" w:bidi="ar"/>
          <w14:textFill>
            <w14:solidFill>
              <w14:schemeClr w14:val="tx1"/>
            </w14:solidFill>
          </w14:textFill>
        </w:rPr>
        <w:t xml:space="preserve">十条 </w:t>
      </w:r>
      <w:r>
        <w:rPr>
          <w:rFonts w:hint="eastAsia" w:ascii="仿宋_GB2312" w:hAnsi="仿宋_GB2312" w:eastAsia="仿宋_GB2312" w:cs="仿宋_GB2312"/>
          <w:color w:val="000000" w:themeColor="text1"/>
          <w:sz w:val="32"/>
          <w:szCs w:val="32"/>
          <w14:textFill>
            <w14:solidFill>
              <w14:schemeClr w14:val="tx1"/>
            </w14:solidFill>
          </w14:textFill>
        </w:rPr>
        <w:t>竞赛工作经费可用于竞赛所需的</w:t>
      </w:r>
      <w:r>
        <w:rPr>
          <w:rFonts w:hint="eastAsia" w:ascii="仿宋_GB2312" w:hAnsi="仿宋_GB2312" w:eastAsia="仿宋_GB2312" w:cs="仿宋_GB2312"/>
          <w:color w:val="000000" w:themeColor="text1"/>
          <w:sz w:val="32"/>
          <w:szCs w:val="32"/>
          <w:lang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设施、仪器耗材购置及租赁、竞赛场地改造、专家教练裁判聘请、赛事管理人员工作补贴、教练选手生活补助、集训拉练、赛事组织实施、奖金及与赛事相关的其他开支。同一承办单位承担多个项目选拔、集训的，经费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按规定</w:t>
      </w:r>
      <w:r>
        <w:rPr>
          <w:rFonts w:hint="eastAsia" w:ascii="仿宋_GB2312" w:hAnsi="仿宋_GB2312" w:eastAsia="仿宋_GB2312" w:cs="仿宋_GB2312"/>
          <w:color w:val="000000" w:themeColor="text1"/>
          <w:sz w:val="32"/>
          <w:szCs w:val="32"/>
          <w14:textFill>
            <w14:solidFill>
              <w14:schemeClr w14:val="tx1"/>
            </w14:solidFill>
          </w14:textFill>
        </w:rPr>
        <w:t>统筹使用。</w:t>
      </w:r>
    </w:p>
    <w:p>
      <w:pPr>
        <w:keepNext w:val="0"/>
        <w:keepLines w:val="0"/>
        <w:pageBreakBefore w:val="0"/>
        <w:tabs>
          <w:tab w:val="center" w:pos="4153"/>
          <w:tab w:val="right" w:pos="8306"/>
        </w:tabs>
        <w:kinsoku/>
        <w:overflowPunct/>
        <w:topLinePunct w:val="0"/>
        <w:autoSpaceDE/>
        <w:autoSpaceDN/>
        <w:bidi w:val="0"/>
        <w:spacing w:line="600" w:lineRule="exact"/>
        <w:ind w:firstLine="412" w:firstLineChars="200"/>
        <w:textAlignment w:val="auto"/>
        <w:rPr>
          <w:rFonts w:hint="default" w:ascii="Times New Roman" w:hAnsi="Times New Roman" w:cs="Times New Roman"/>
          <w:color w:val="000000" w:themeColor="text1"/>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第七章 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一</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Style w:val="8"/>
          <w:rFonts w:hint="eastAsia" w:ascii="仿宋_GB2312" w:hAnsi="仿宋_GB2312" w:eastAsia="仿宋_GB2312" w:cs="仿宋_GB2312"/>
          <w:color w:val="000000" w:themeColor="text1"/>
          <w:sz w:val="32"/>
          <w:szCs w:val="32"/>
          <w14:textFill>
            <w14:solidFill>
              <w14:schemeClr w14:val="tx1"/>
            </w14:solidFill>
          </w14:textFill>
        </w:rPr>
        <w:t>健全监督管理机制，综合运用多种监管手段，对</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职业技能竞赛组织全过程进行监管。人力资源社会保障部门应履行主管部门监管责任，</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各级纪检部门要加强监督指导，</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在职业技能竞赛举办前或举办中发现不符合规定条件、标准、规则等规定情形的，或收到有关单位、个人提出相关建议、投诉、举报的，应当及时核查处</w:t>
      </w:r>
      <w:r>
        <w:rPr>
          <w:rFonts w:hint="eastAsia" w:ascii="仿宋_GB2312" w:hAnsi="仿宋_GB2312" w:eastAsia="仿宋_GB2312" w:cs="仿宋_GB2312"/>
          <w:color w:val="000000" w:themeColor="text1"/>
          <w:spacing w:val="-6"/>
          <w:kern w:val="0"/>
          <w:sz w:val="32"/>
          <w:szCs w:val="32"/>
          <w:highlight w:val="none"/>
          <w:u w:val="none"/>
          <w:lang w:bidi="ar"/>
          <w14:textFill>
            <w14:solidFill>
              <w14:schemeClr w14:val="tx1"/>
            </w14:solidFill>
          </w14:textFill>
        </w:rPr>
        <w:t>理；属于其他部门职责范围的，应当及时移交并积极配合协助处理。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二</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在职业技能竞赛中出现因管理不善</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造成重大责任事故</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或营私舞弊</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成绩失实</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造成恶劣影响的情形</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对竞赛结果不予认定，并</w:t>
      </w:r>
      <w:r>
        <w:rPr>
          <w:rFonts w:hint="eastAsia" w:ascii="仿宋_GB2312" w:hAnsi="仿宋_GB2312" w:eastAsia="仿宋_GB2312" w:cs="仿宋_GB2312"/>
          <w:color w:val="000000" w:themeColor="text1"/>
          <w:spacing w:val="-6"/>
          <w:sz w:val="32"/>
          <w:szCs w:val="32"/>
          <w:lang w:val="en-US" w:eastAsia="zh-Hans"/>
          <w14:textFill>
            <w14:solidFill>
              <w14:schemeClr w14:val="tx1"/>
            </w14:solidFill>
          </w14:textFill>
        </w:rPr>
        <w:t>由有关部门追究相关单位和个人责任</w:t>
      </w:r>
      <w:r>
        <w:rPr>
          <w:rFonts w:hint="eastAsia" w:ascii="仿宋_GB2312" w:hAnsi="仿宋_GB2312" w:eastAsia="仿宋_GB2312" w:cs="仿宋_GB2312"/>
          <w:color w:val="000000" w:themeColor="text1"/>
          <w:spacing w:val="-6"/>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三</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专家、裁判、监督仲裁、指导</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教练</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等相关人员，违反工作纪律，造成恶劣影响的，</w:t>
      </w:r>
      <w:r>
        <w:rPr>
          <w:rFonts w:hint="eastAsia" w:ascii="仿宋_GB2312" w:hAnsi="仿宋_GB2312" w:eastAsia="仿宋_GB2312" w:cs="仿宋_GB2312"/>
          <w:color w:val="000000" w:themeColor="text1"/>
          <w:spacing w:val="-6"/>
          <w:sz w:val="32"/>
          <w:szCs w:val="32"/>
          <w:highlight w:val="none"/>
          <w:u w:val="none"/>
          <w:lang w:eastAsia="zh-Hans"/>
          <w14:textFill>
            <w14:solidFill>
              <w14:schemeClr w14:val="tx1"/>
            </w14:solidFill>
          </w14:textFill>
        </w:rPr>
        <w:t>由有关部门追究相关</w:t>
      </w:r>
      <w:r>
        <w:rPr>
          <w:rFonts w:hint="eastAsia" w:ascii="仿宋_GB2312" w:hAnsi="仿宋_GB2312" w:eastAsia="仿宋_GB2312" w:cs="仿宋_GB2312"/>
          <w:color w:val="000000" w:themeColor="text1"/>
          <w:spacing w:val="-6"/>
          <w:sz w:val="32"/>
          <w:szCs w:val="32"/>
          <w:highlight w:val="none"/>
          <w:u w:val="none"/>
          <w14:textFill>
            <w14:solidFill>
              <w14:schemeClr w14:val="tx1"/>
            </w14:solidFill>
          </w14:textFill>
        </w:rPr>
        <w:t>人员</w:t>
      </w:r>
      <w:r>
        <w:rPr>
          <w:rFonts w:hint="eastAsia" w:ascii="仿宋_GB2312" w:hAnsi="仿宋_GB2312" w:eastAsia="仿宋_GB2312" w:cs="仿宋_GB2312"/>
          <w:color w:val="000000" w:themeColor="text1"/>
          <w:spacing w:val="-6"/>
          <w:sz w:val="32"/>
          <w:szCs w:val="32"/>
          <w:highlight w:val="none"/>
          <w:u w:val="none"/>
          <w:lang w:eastAsia="zh-Hans"/>
          <w14:textFill>
            <w14:solidFill>
              <w14:schemeClr w14:val="tx1"/>
            </w14:solidFill>
          </w14:textFill>
        </w:rPr>
        <w:t>责任。</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大赛协办单位或合作企业的违约责任通过合同协议明确。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四</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参赛选手不遵守竞赛规程，</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经查实有冒名顶替、作弊、扰乱赛场秩序等情形的，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终止</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比赛</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资格</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，取消比赛成绩</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Style w:val="7"/>
          <w:rFonts w:hint="default" w:ascii="Times New Roman" w:hAnsi="Times New Roman" w:eastAsia="黑体" w:cs="Times New Roman"/>
          <w:color w:val="000000" w:themeColor="text1"/>
          <w:sz w:val="32"/>
          <w:szCs w:val="32"/>
          <w:highlight w:val="none"/>
          <w:u w:val="none"/>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left"/>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left"/>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五</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条</w:t>
      </w:r>
      <w:r>
        <w:rPr>
          <w:rFonts w:hint="default" w:ascii="Times New Roman" w:hAnsi="Times New Roman" w:eastAsia="仿宋_GB2312" w:cs="Times New Roman"/>
          <w:color w:val="000000" w:themeColor="text1"/>
          <w:kern w:val="0"/>
          <w:sz w:val="32"/>
          <w:szCs w:val="32"/>
          <w:highlight w:val="none"/>
          <w:u w:val="none"/>
          <w:lang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参照本办法，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根据实际制定本地具体实施办法。</w:t>
      </w:r>
    </w:p>
    <w:p>
      <w:pPr>
        <w:pStyle w:val="3"/>
        <w:keepNext w:val="0"/>
        <w:keepLines w:val="0"/>
        <w:pageBreakBefore w:val="0"/>
        <w:kinsoku/>
        <w:overflowPunct/>
        <w:topLinePunct w:val="0"/>
        <w:autoSpaceDE/>
        <w:autoSpaceDN/>
        <w:bidi w:val="0"/>
        <w:spacing w:line="600" w:lineRule="exact"/>
        <w:ind w:firstLine="632" w:firstLineChars="200"/>
        <w:textAlignment w:val="auto"/>
        <w:rPr>
          <w:rFonts w:hint="eastAsia" w:eastAsia="仿宋_GB2312"/>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六</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条</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本办法</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由</w:t>
      </w:r>
      <w:r>
        <w:rPr>
          <w:rFonts w:hint="eastAsia"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市</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人力资源</w:t>
      </w:r>
      <w:r>
        <w:rPr>
          <w:rFonts w:hint="eastAsia"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社会保障</w:t>
      </w:r>
      <w:r>
        <w:rPr>
          <w:rFonts w:hint="eastAsia"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负责解释。</w:t>
      </w:r>
      <w:r>
        <w:rPr>
          <w:rFonts w:hint="eastAsia" w:ascii="Times New Roman" w:hAnsi="Times New Roman" w:eastAsia="仿宋_GB2312" w:cs="Times New Roman"/>
          <w:color w:val="000000" w:themeColor="text1"/>
          <w:kern w:val="0"/>
          <w:sz w:val="32"/>
          <w:szCs w:val="32"/>
          <w:highlight w:val="none"/>
          <w:u w:val="none"/>
          <w:lang w:eastAsia="zh-CN" w:bidi="ar"/>
          <w14:textFill>
            <w14:solidFill>
              <w14:schemeClr w14:val="tx1"/>
            </w14:solidFill>
          </w14:textFill>
        </w:rPr>
        <w:t>国家、省对竞赛如有新规定的，从其规定。</w:t>
      </w:r>
    </w:p>
    <w:p>
      <w:pPr>
        <w:keepNext w:val="0"/>
        <w:keepLines w:val="0"/>
        <w:pageBreakBefore w:val="0"/>
        <w:kinsoku/>
        <w:overflowPunct/>
        <w:topLinePunct w:val="0"/>
        <w:autoSpaceDE/>
        <w:autoSpaceDN/>
        <w:bidi w:val="0"/>
        <w:spacing w:line="600" w:lineRule="exact"/>
        <w:ind w:firstLine="632" w:firstLineChars="200"/>
        <w:jc w:val="left"/>
        <w:textAlignment w:val="auto"/>
        <w:rPr>
          <w:rFonts w:hint="eastAsia" w:ascii="仿宋_GB2312" w:hAnsi="仿宋_GB2312" w:eastAsia="仿宋_GB2312" w:cs="仿宋_GB2312"/>
          <w:kern w:val="0"/>
          <w:sz w:val="32"/>
          <w:szCs w:val="32"/>
          <w:highlight w:val="none"/>
          <w:u w:val="none"/>
          <w:lang w:bidi="ar"/>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第四十</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七</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条</w:t>
      </w:r>
      <w:r>
        <w:rPr>
          <w:rFonts w:hint="default" w:ascii="Times New Roman" w:hAnsi="Times New Roman"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本办法自</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印发之日</w:t>
      </w:r>
      <w:r>
        <w:rPr>
          <w:rFonts w:hint="eastAsia" w:ascii="仿宋_GB2312" w:hAnsi="仿宋_GB2312" w:eastAsia="仿宋_GB2312" w:cs="仿宋_GB2312"/>
          <w:color w:val="000000" w:themeColor="text1"/>
          <w:kern w:val="0"/>
          <w:sz w:val="32"/>
          <w:szCs w:val="32"/>
          <w:highlight w:val="none"/>
          <w:u w:val="none"/>
          <w:lang w:bidi="ar"/>
          <w14:textFill>
            <w14:solidFill>
              <w14:schemeClr w14:val="tx1"/>
            </w14:solidFill>
          </w14:textFill>
        </w:rPr>
        <w:t>起执行，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有效期5年。</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黑体" w:cs="Times New Roman"/>
          <w:kern w:val="0"/>
          <w:sz w:val="32"/>
          <w:szCs w:val="32"/>
          <w:highlight w:val="none"/>
          <w:u w:val="none"/>
          <w:lang w:val="en-US" w:eastAsia="zh-CN" w:bidi="ar"/>
        </w:rPr>
      </w:pPr>
      <w:r>
        <w:rPr>
          <w:rFonts w:hint="default" w:ascii="Times New Roman" w:hAnsi="Times New Roman" w:eastAsia="仿宋_GB2312" w:cs="Times New Roman"/>
          <w:kern w:val="0"/>
          <w:sz w:val="32"/>
          <w:szCs w:val="32"/>
          <w:highlight w:val="none"/>
          <w:u w:val="none"/>
          <w:lang w:bidi="ar"/>
        </w:rPr>
        <w:br w:type="page"/>
      </w:r>
      <w:r>
        <w:rPr>
          <w:rFonts w:hint="default" w:ascii="Times New Roman" w:hAnsi="Times New Roman" w:eastAsia="黑体" w:cs="Times New Roman"/>
          <w:kern w:val="0"/>
          <w:sz w:val="32"/>
          <w:szCs w:val="32"/>
          <w:highlight w:val="none"/>
          <w:u w:val="none"/>
          <w:lang w:eastAsia="zh-CN" w:bidi="ar"/>
        </w:rPr>
        <w:t>附</w:t>
      </w:r>
      <w:r>
        <w:rPr>
          <w:rFonts w:hint="default" w:ascii="Times New Roman" w:hAnsi="Times New Roman" w:eastAsia="黑体" w:cs="Times New Roman"/>
          <w:kern w:val="0"/>
          <w:sz w:val="32"/>
          <w:szCs w:val="32"/>
          <w:highlight w:val="none"/>
          <w:u w:val="none"/>
          <w:lang w:val="en-US" w:eastAsia="zh-CN" w:bidi="ar"/>
        </w:rPr>
        <w:t>表1</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kern w:val="0"/>
          <w:sz w:val="32"/>
          <w:szCs w:val="32"/>
          <w:highlight w:val="none"/>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创艺简标宋"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20____年</w:t>
      </w:r>
      <w:r>
        <w:rPr>
          <w:rFonts w:hint="eastAsia" w:eastAsia="方正小标宋简体" w:cs="Times New Roman"/>
          <w:b w:val="0"/>
          <w:bCs w:val="0"/>
          <w:color w:val="auto"/>
          <w:kern w:val="2"/>
          <w:sz w:val="44"/>
          <w:szCs w:val="44"/>
          <w:lang w:val="en-US" w:eastAsia="zh-CN" w:bidi="ar-SA"/>
        </w:rPr>
        <w:t>韶关市</w:t>
      </w:r>
      <w:r>
        <w:rPr>
          <w:rFonts w:hint="default" w:ascii="Times New Roman" w:hAnsi="Times New Roman" w:eastAsia="方正小标宋简体" w:cs="Times New Roman"/>
          <w:b w:val="0"/>
          <w:bCs w:val="0"/>
          <w:color w:val="auto"/>
          <w:kern w:val="2"/>
          <w:sz w:val="44"/>
          <w:szCs w:val="44"/>
          <w:lang w:val="en-US" w:eastAsia="zh-CN" w:bidi="ar-SA"/>
        </w:rPr>
        <w:t>职业技能竞赛申报表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Times New Roman" w:hAnsi="Times New Roman" w:cs="Times New Roman"/>
          <w:b w:val="0"/>
          <w:bCs w:val="0"/>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val="0"/>
          <w:bCs w:val="0"/>
          <w:sz w:val="28"/>
          <w:szCs w:val="28"/>
          <w:lang w:val="en-US" w:eastAsia="zh-CN"/>
        </w:rPr>
        <w:t>申报单位：（盖章）</w:t>
      </w:r>
    </w:p>
    <w:tbl>
      <w:tblPr>
        <w:tblStyle w:val="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960"/>
        <w:gridCol w:w="1880"/>
        <w:gridCol w:w="784"/>
        <w:gridCol w:w="497"/>
        <w:gridCol w:w="1251"/>
        <w:gridCol w:w="69"/>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6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竞赛名称</w:t>
            </w:r>
          </w:p>
        </w:tc>
        <w:tc>
          <w:tcPr>
            <w:tcW w:w="5121"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bCs/>
                <w:sz w:val="28"/>
                <w:szCs w:val="28"/>
                <w:vertAlign w:val="baseline"/>
                <w:lang w:val="en-US" w:eastAsia="zh-CN"/>
              </w:rPr>
            </w:pPr>
          </w:p>
        </w:tc>
        <w:tc>
          <w:tcPr>
            <w:tcW w:w="1320"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竞赛时间</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主办单位</w:t>
            </w:r>
          </w:p>
        </w:tc>
        <w:tc>
          <w:tcPr>
            <w:tcW w:w="5121"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p>
        </w:tc>
        <w:tc>
          <w:tcPr>
            <w:tcW w:w="13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预计初赛参赛人数</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联 系 人</w:t>
            </w:r>
          </w:p>
        </w:tc>
        <w:tc>
          <w:tcPr>
            <w:tcW w:w="196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p>
        </w:tc>
        <w:tc>
          <w:tcPr>
            <w:tcW w:w="188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color w:val="000000"/>
                <w:sz w:val="28"/>
                <w:szCs w:val="28"/>
                <w:lang w:val="en-US" w:eastAsia="zh-CN"/>
              </w:rPr>
              <w:t>手机号码</w:t>
            </w:r>
          </w:p>
        </w:tc>
        <w:tc>
          <w:tcPr>
            <w:tcW w:w="1281"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p>
        </w:tc>
        <w:tc>
          <w:tcPr>
            <w:tcW w:w="1320"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微信号</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竞赛项目</w:t>
            </w:r>
          </w:p>
        </w:tc>
        <w:tc>
          <w:tcPr>
            <w:tcW w:w="196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p>
        </w:tc>
        <w:tc>
          <w:tcPr>
            <w:tcW w:w="188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职业名称</w:t>
            </w:r>
          </w:p>
        </w:tc>
        <w:tc>
          <w:tcPr>
            <w:tcW w:w="1281"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p>
        </w:tc>
        <w:tc>
          <w:tcPr>
            <w:tcW w:w="1320"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职业编码</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324"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是否拥有国家职业技能标准或行业企业评价规范</w:t>
            </w:r>
          </w:p>
        </w:tc>
        <w:tc>
          <w:tcPr>
            <w:tcW w:w="188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 是 □ 否</w:t>
            </w:r>
          </w:p>
        </w:tc>
        <w:tc>
          <w:tcPr>
            <w:tcW w:w="2601"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是否有对应级别</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6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 xml:space="preserve">竞赛等级 </w:t>
            </w:r>
          </w:p>
        </w:tc>
        <w:tc>
          <w:tcPr>
            <w:tcW w:w="5121"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 xml:space="preserve">□ </w:t>
            </w:r>
            <w:r>
              <w:rPr>
                <w:rFonts w:hint="eastAsia" w:cs="Times New Roman"/>
                <w:b w:val="0"/>
                <w:bCs w:val="0"/>
                <w:sz w:val="28"/>
                <w:szCs w:val="28"/>
                <w:vertAlign w:val="baseline"/>
                <w:lang w:val="en-US" w:eastAsia="zh-CN"/>
              </w:rPr>
              <w:t>高级工</w:t>
            </w:r>
            <w:r>
              <w:rPr>
                <w:rFonts w:hint="default" w:ascii="Times New Roman" w:hAnsi="Times New Roman" w:cs="Times New Roman"/>
                <w:b w:val="0"/>
                <w:bCs w:val="0"/>
                <w:sz w:val="28"/>
                <w:szCs w:val="28"/>
                <w:vertAlign w:val="baseline"/>
                <w:lang w:val="en-US" w:eastAsia="zh-CN"/>
              </w:rPr>
              <w:t xml:space="preserve"> □ </w:t>
            </w:r>
            <w:r>
              <w:rPr>
                <w:rFonts w:hint="eastAsia" w:cs="Times New Roman"/>
                <w:b w:val="0"/>
                <w:bCs w:val="0"/>
                <w:sz w:val="28"/>
                <w:szCs w:val="28"/>
                <w:vertAlign w:val="baseline"/>
                <w:lang w:val="en-US" w:eastAsia="zh-CN"/>
              </w:rPr>
              <w:t>中</w:t>
            </w:r>
            <w:r>
              <w:rPr>
                <w:rFonts w:hint="default" w:ascii="Times New Roman" w:hAnsi="Times New Roman" w:cs="Times New Roman"/>
                <w:b w:val="0"/>
                <w:bCs w:val="0"/>
                <w:sz w:val="28"/>
                <w:szCs w:val="28"/>
                <w:vertAlign w:val="baseline"/>
                <w:lang w:val="en-US" w:eastAsia="zh-CN"/>
              </w:rPr>
              <w:t xml:space="preserve">级工 </w:t>
            </w:r>
          </w:p>
        </w:tc>
        <w:tc>
          <w:tcPr>
            <w:tcW w:w="1320"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经费来源</w:t>
            </w:r>
          </w:p>
        </w:tc>
        <w:tc>
          <w:tcPr>
            <w:tcW w:w="178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87" w:type="dxa"/>
            <w:gridSpan w:val="8"/>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是否为职业技能等级社会评价机构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587" w:type="dxa"/>
            <w:gridSpan w:val="8"/>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 xml:space="preserve">是否为职业技能等级认定用人单位    □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88"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rPr>
              <w:t>职业技能等级评价机构名称（发证机构）</w:t>
            </w:r>
          </w:p>
        </w:tc>
        <w:tc>
          <w:tcPr>
            <w:tcW w:w="3599" w:type="dxa"/>
            <w:gridSpan w:val="4"/>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36" w:type="dxa"/>
            <w:gridSpan w:val="6"/>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cs="Times New Roman"/>
                <w:b w:val="0"/>
                <w:bCs w:val="0"/>
                <w:spacing w:val="1"/>
                <w:w w:val="91"/>
                <w:kern w:val="0"/>
                <w:sz w:val="28"/>
                <w:szCs w:val="28"/>
                <w:fitText w:val="7449" w:id="1908425983"/>
                <w:vertAlign w:val="baseline"/>
                <w:lang w:val="en-US" w:eastAsia="zh-CN"/>
              </w:rPr>
              <w:t>所申报竞赛项目对应职业和级别是否为评价机构备案的职业和级</w:t>
            </w:r>
            <w:r>
              <w:rPr>
                <w:rFonts w:hint="default" w:ascii="Times New Roman" w:hAnsi="Times New Roman" w:cs="Times New Roman"/>
                <w:b w:val="0"/>
                <w:bCs w:val="0"/>
                <w:spacing w:val="17"/>
                <w:w w:val="91"/>
                <w:kern w:val="0"/>
                <w:sz w:val="28"/>
                <w:szCs w:val="28"/>
                <w:fitText w:val="7449" w:id="1908425983"/>
                <w:vertAlign w:val="baseline"/>
                <w:lang w:val="en-US" w:eastAsia="zh-CN"/>
              </w:rPr>
              <w:t>别</w:t>
            </w:r>
          </w:p>
        </w:tc>
        <w:tc>
          <w:tcPr>
            <w:tcW w:w="1851" w:type="dxa"/>
            <w:gridSpan w:val="2"/>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spacing w:val="-20"/>
                <w:kern w:val="2"/>
                <w:sz w:val="32"/>
                <w:szCs w:val="32"/>
                <w:vertAlign w:val="baseline"/>
                <w:lang w:val="en-US" w:eastAsia="zh-CN" w:bidi="ar-SA"/>
              </w:rPr>
            </w:pPr>
            <w:r>
              <w:rPr>
                <w:rFonts w:hint="default" w:ascii="Times New Roman" w:hAnsi="Times New Roman" w:cs="Times New Roman"/>
                <w:b w:val="0"/>
                <w:bCs w:val="0"/>
                <w:sz w:val="28"/>
                <w:szCs w:val="28"/>
                <w:vertAlign w:val="baseline"/>
                <w:lang w:val="en-US" w:eastAsia="zh-CN"/>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87" w:type="dxa"/>
            <w:gridSpan w:val="8"/>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0" w:lineRule="atLeast"/>
              <w:ind w:left="0" w:leftChars="0" w:right="0" w:rightChars="0" w:firstLine="552" w:firstLineChars="200"/>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b/>
                <w:bCs/>
                <w:sz w:val="28"/>
                <w:szCs w:val="28"/>
                <w:vertAlign w:val="baseline"/>
                <w:lang w:val="en-US" w:eastAsia="zh-CN"/>
              </w:rPr>
              <w:t>竞 赛 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87" w:type="dxa"/>
            <w:gridSpan w:val="8"/>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pacing w:beforeLines="0" w:afterLines="0" w:line="0" w:lineRule="atLeast"/>
              <w:ind w:left="0" w:leftChars="0" w:right="0" w:rightChars="0" w:firstLine="0" w:firstLineChars="0"/>
              <w:jc w:val="left"/>
              <w:textAlignment w:val="auto"/>
              <w:outlineLvl w:val="9"/>
              <w:rPr>
                <w:rFonts w:hint="default" w:ascii="Times New Roman" w:hAnsi="Times New Roman" w:cs="Times New Roman"/>
                <w:b w:val="0"/>
                <w:bCs w:val="0"/>
                <w:sz w:val="28"/>
                <w:szCs w:val="28"/>
                <w:vertAlign w:val="baseline"/>
                <w:lang w:val="en-US" w:eastAsia="zh-CN"/>
              </w:rPr>
            </w:pP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pacing w:beforeLines="0" w:afterLines="0" w:line="0" w:lineRule="atLeast"/>
              <w:ind w:left="0" w:leftChars="0" w:right="0" w:rightChars="0" w:firstLine="0" w:firstLineChars="0"/>
              <w:jc w:val="left"/>
              <w:textAlignment w:val="auto"/>
              <w:outlineLvl w:val="9"/>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（内容：工种定义、在社会经济中的作用、发展趋势、从业人员状况等，可附页）</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pacing w:beforeLines="0" w:afterLines="0" w:line="0" w:lineRule="atLeas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p>
        </w:tc>
      </w:tr>
    </w:tbl>
    <w:p>
      <w:pPr>
        <w:keepNext w:val="0"/>
        <w:keepLines w:val="0"/>
        <w:pageBreakBefore w:val="0"/>
        <w:widowControl w:val="0"/>
        <w:tabs>
          <w:tab w:val="left" w:pos="7584"/>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黑体" w:cs="Times New Roman"/>
          <w:szCs w:val="32"/>
          <w:lang w:val="en-US" w:eastAsia="zh-CN"/>
        </w:rPr>
        <w:sectPr>
          <w:footerReference r:id="rId3" w:type="default"/>
          <w:pgSz w:w="11906" w:h="16838"/>
          <w:pgMar w:top="2098" w:right="1474" w:bottom="1984" w:left="1587" w:header="1134" w:footer="1474" w:gutter="0"/>
          <w:pgNumType w:fmt="numberInDash"/>
          <w:cols w:space="720" w:num="1"/>
          <w:rtlGutter w:val="0"/>
          <w:docGrid w:type="linesAndChars" w:linePitch="598" w:charSpace="-1024"/>
        </w:sectPr>
      </w:pPr>
      <w:r>
        <w:rPr>
          <w:rFonts w:hint="default" w:ascii="Times New Roman" w:hAnsi="Times New Roman" w:eastAsia="仿宋_GB2312" w:cs="Times New Roman"/>
          <w:sz w:val="24"/>
          <w:szCs w:val="24"/>
          <w:lang w:val="en-US" w:eastAsia="zh-CN"/>
        </w:rPr>
        <w:t>注：</w:t>
      </w:r>
      <w:r>
        <w:rPr>
          <w:rFonts w:hint="default" w:ascii="Times New Roman" w:hAnsi="Times New Roman" w:cs="Times New Roman"/>
          <w:sz w:val="24"/>
          <w:szCs w:val="24"/>
          <w:lang w:val="en-US" w:eastAsia="zh-CN"/>
        </w:rPr>
        <w:t>1.“职业名称”“职业编码”是指在职业分类大典（申报时的最新版本）中所能查到的，与所填报竞赛项目相对应的职业名称和编码。2.国家职业技能标准可在“技能人才评价工作网”“中国职业培训在线”等网站查询。</w:t>
      </w:r>
    </w:p>
    <w:p>
      <w:pPr>
        <w:pStyle w:val="9"/>
        <w:snapToGrid w:val="0"/>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bidi="ar"/>
        </w:rPr>
        <w:t>附</w:t>
      </w:r>
      <w:r>
        <w:rPr>
          <w:rFonts w:hint="default" w:ascii="Times New Roman" w:hAnsi="Times New Roman" w:eastAsia="黑体" w:cs="Times New Roman"/>
          <w:b w:val="0"/>
          <w:bCs w:val="0"/>
          <w:kern w:val="0"/>
          <w:sz w:val="32"/>
          <w:szCs w:val="32"/>
          <w:highlight w:val="none"/>
          <w:lang w:val="en-US" w:eastAsia="zh-CN" w:bidi="ar"/>
        </w:rPr>
        <w:t>表2</w:t>
      </w:r>
    </w:p>
    <w:p>
      <w:pPr>
        <w:pStyle w:val="9"/>
        <w:snapToGrid w:val="0"/>
        <w:rPr>
          <w:rFonts w:hint="default" w:ascii="Times New Roman" w:hAnsi="Times New Roman" w:eastAsia="黑体" w:cs="Times New Roman"/>
          <w:b w:val="0"/>
          <w:bCs/>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val="0"/>
          <w:bCs w:val="0"/>
          <w:color w:val="auto"/>
          <w:kern w:val="2"/>
          <w:sz w:val="44"/>
          <w:szCs w:val="44"/>
          <w:lang w:val="en-US" w:eastAsia="zh-CN" w:bidi="ar-SA"/>
        </w:rPr>
        <w:t>20____</w:t>
      </w:r>
      <w:r>
        <w:rPr>
          <w:rFonts w:hint="default" w:ascii="Times New Roman" w:hAnsi="Times New Roman" w:eastAsia="方正小标宋简体" w:cs="Times New Roman"/>
          <w:b w:val="0"/>
          <w:bCs w:val="0"/>
          <w:color w:val="auto"/>
          <w:sz w:val="44"/>
          <w:szCs w:val="44"/>
          <w:u w:val="none" w:color="auto"/>
          <w:lang w:val="en-US" w:eastAsia="zh-CN"/>
        </w:rPr>
        <w:t>年</w:t>
      </w:r>
      <w:r>
        <w:rPr>
          <w:rFonts w:hint="eastAsia" w:eastAsia="方正小标宋简体" w:cs="Times New Roman"/>
          <w:b w:val="0"/>
          <w:bCs w:val="0"/>
          <w:color w:val="auto"/>
          <w:sz w:val="44"/>
          <w:szCs w:val="44"/>
          <w:u w:val="none" w:color="auto"/>
          <w:lang w:val="en-US" w:eastAsia="zh-CN"/>
        </w:rPr>
        <w:t>韶关市</w:t>
      </w:r>
      <w:r>
        <w:rPr>
          <w:rFonts w:hint="default" w:ascii="Times New Roman" w:hAnsi="Times New Roman" w:eastAsia="方正小标宋简体" w:cs="Times New Roman"/>
          <w:b w:val="0"/>
          <w:bCs w:val="0"/>
          <w:color w:val="auto"/>
          <w:sz w:val="44"/>
          <w:szCs w:val="44"/>
        </w:rPr>
        <w:t>职业技能竞赛情况表</w:t>
      </w:r>
    </w:p>
    <w:p>
      <w:pPr>
        <w:pStyle w:val="9"/>
        <w:ind w:right="-784" w:rightChars="-381"/>
        <w:rPr>
          <w:rFonts w:hint="default" w:ascii="Times New Roman" w:hAnsi="Times New Roman" w:eastAsia="仿宋_GB2312" w:cs="Times New Roman"/>
          <w:sz w:val="28"/>
          <w:szCs w:val="28"/>
          <w:lang w:eastAsia="zh-CN"/>
        </w:rPr>
      </w:pPr>
    </w:p>
    <w:p>
      <w:pPr>
        <w:pStyle w:val="9"/>
        <w:ind w:right="-784" w:rightChars="-3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填</w:t>
      </w:r>
      <w:r>
        <w:rPr>
          <w:rFonts w:hint="default" w:ascii="Times New Roman" w:hAnsi="Times New Roman" w:eastAsia="仿宋_GB2312" w:cs="Times New Roman"/>
          <w:sz w:val="28"/>
          <w:szCs w:val="28"/>
        </w:rPr>
        <w:t xml:space="preserve">报单位：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tbl>
      <w:tblPr>
        <w:tblStyle w:val="5"/>
        <w:tblW w:w="14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71"/>
        <w:gridCol w:w="824"/>
        <w:gridCol w:w="795"/>
        <w:gridCol w:w="712"/>
        <w:gridCol w:w="740"/>
        <w:gridCol w:w="698"/>
        <w:gridCol w:w="951"/>
        <w:gridCol w:w="735"/>
        <w:gridCol w:w="705"/>
        <w:gridCol w:w="780"/>
        <w:gridCol w:w="720"/>
        <w:gridCol w:w="765"/>
        <w:gridCol w:w="735"/>
        <w:gridCol w:w="705"/>
        <w:gridCol w:w="780"/>
        <w:gridCol w:w="94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竞赛</w:t>
            </w:r>
          </w:p>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1271"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竞赛职业</w:t>
            </w:r>
          </w:p>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（工种）</w:t>
            </w:r>
          </w:p>
        </w:tc>
        <w:tc>
          <w:tcPr>
            <w:tcW w:w="82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竞赛标准</w:t>
            </w:r>
          </w:p>
        </w:tc>
        <w:tc>
          <w:tcPr>
            <w:tcW w:w="2247"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参赛人数</w:t>
            </w:r>
          </w:p>
        </w:tc>
        <w:tc>
          <w:tcPr>
            <w:tcW w:w="3869"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获职业资格证书人数</w:t>
            </w:r>
          </w:p>
        </w:tc>
        <w:tc>
          <w:tcPr>
            <w:tcW w:w="3705"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获</w:t>
            </w:r>
            <w:r>
              <w:rPr>
                <w:rFonts w:hint="default" w:ascii="Times New Roman" w:hAnsi="Times New Roman" w:eastAsia="黑体" w:cs="Times New Roman"/>
                <w:sz w:val="24"/>
                <w:szCs w:val="24"/>
                <w:lang w:val="en-US" w:eastAsia="zh-CN"/>
              </w:rPr>
              <w:t>技能等级</w:t>
            </w:r>
            <w:r>
              <w:rPr>
                <w:rFonts w:hint="default" w:ascii="Times New Roman" w:hAnsi="Times New Roman" w:eastAsia="黑体" w:cs="Times New Roman"/>
                <w:sz w:val="24"/>
                <w:szCs w:val="24"/>
              </w:rPr>
              <w:t>证书人数</w:t>
            </w:r>
          </w:p>
        </w:tc>
        <w:tc>
          <w:tcPr>
            <w:tcW w:w="190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推荐</w:t>
            </w:r>
            <w:r>
              <w:rPr>
                <w:rFonts w:hint="default" w:ascii="Times New Roman" w:hAnsi="Times New Roman" w:eastAsia="黑体" w:cs="Times New Roman"/>
                <w:sz w:val="24"/>
                <w:szCs w:val="24"/>
              </w:rPr>
              <w:t>技术能手</w:t>
            </w:r>
          </w:p>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荣誉</w:t>
            </w:r>
            <w:r>
              <w:rPr>
                <w:rFonts w:hint="default" w:ascii="Times New Roman" w:hAnsi="Times New Roman" w:eastAsia="黑体" w:cs="Times New Roman"/>
                <w:sz w:val="24"/>
                <w:szCs w:val="24"/>
              </w:rPr>
              <w:t>称号人数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0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p>
        </w:tc>
        <w:tc>
          <w:tcPr>
            <w:tcW w:w="1271"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p>
        </w:tc>
        <w:tc>
          <w:tcPr>
            <w:tcW w:w="82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初赛</w:t>
            </w: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选拔赛</w:t>
            </w: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决赛</w:t>
            </w: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初级</w:t>
            </w: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中级</w:t>
            </w: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高级</w:t>
            </w: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技师</w:t>
            </w: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szCs w:val="24"/>
              </w:rPr>
              <w:t>高级技师</w:t>
            </w: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五级</w:t>
            </w: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四级</w:t>
            </w: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三级</w:t>
            </w: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二级</w:t>
            </w: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一级</w:t>
            </w: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eastAsia" w:eastAsia="黑体" w:cs="Times New Roman"/>
                <w:sz w:val="24"/>
                <w:szCs w:val="24"/>
                <w:lang w:eastAsia="zh-CN"/>
              </w:rPr>
              <w:t>县</w:t>
            </w:r>
            <w:r>
              <w:rPr>
                <w:rFonts w:hint="default" w:ascii="Times New Roman" w:hAnsi="Times New Roman" w:eastAsia="黑体" w:cs="Times New Roman"/>
                <w:sz w:val="24"/>
                <w:szCs w:val="24"/>
              </w:rPr>
              <w:t>技术能手</w:t>
            </w: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eastAsia" w:eastAsia="黑体" w:cs="Times New Roman"/>
                <w:sz w:val="24"/>
                <w:szCs w:val="24"/>
                <w:lang w:eastAsia="zh-CN"/>
              </w:rPr>
              <w:t>市</w:t>
            </w:r>
            <w:r>
              <w:rPr>
                <w:rFonts w:hint="default" w:ascii="Times New Roman" w:hAnsi="Times New Roman" w:eastAsia="黑体" w:cs="Times New Roman"/>
                <w:sz w:val="24"/>
                <w:szCs w:val="24"/>
              </w:rPr>
              <w:t>技术能手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127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82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9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12"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4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698"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951"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宋体" w:cs="Times New Roman"/>
                <w:kern w:val="2"/>
                <w:sz w:val="21"/>
                <w:szCs w:val="32"/>
                <w:lang w:val="en-US" w:eastAsia="zh-CN" w:bidi="ar-SA"/>
              </w:rPr>
            </w:pPr>
          </w:p>
        </w:tc>
        <w:tc>
          <w:tcPr>
            <w:tcW w:w="72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6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3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0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780"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c>
          <w:tcPr>
            <w:tcW w:w="964" w:type="dxa"/>
            <w:vAlign w:val="center"/>
          </w:tcPr>
          <w:p>
            <w:pPr>
              <w:pStyle w:val="9"/>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Cs w:val="32"/>
              </w:rPr>
            </w:pPr>
          </w:p>
        </w:tc>
      </w:tr>
    </w:tbl>
    <w:p>
      <w:pPr>
        <w:pStyle w:val="9"/>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填表人：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联系电话：</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278" w:firstLineChars="101"/>
        <w:jc w:val="both"/>
        <w:textAlignment w:val="auto"/>
        <w:outlineLvl w:val="9"/>
        <w:rPr>
          <w:rFonts w:hint="default" w:ascii="Times New Roman" w:hAnsi="Times New Roman" w:eastAsia="仿宋_GB2312" w:cs="Times New Roman"/>
          <w:b w:val="0"/>
          <w:bCs w:val="0"/>
          <w:spacing w:val="0"/>
          <w:sz w:val="28"/>
          <w:szCs w:val="28"/>
          <w:lang w:val="en-US" w:eastAsia="zh-CN"/>
        </w:rPr>
        <w:sectPr>
          <w:pgSz w:w="16838" w:h="11906" w:orient="landscape"/>
          <w:pgMar w:top="1587" w:right="1984" w:bottom="1474" w:left="1701" w:header="1134" w:footer="1134" w:gutter="0"/>
          <w:pgNumType w:fmt="numberInDash"/>
          <w:cols w:space="720" w:num="1"/>
          <w:rtlGutter w:val="0"/>
          <w:docGrid w:type="linesAndChars" w:linePitch="631" w:charSpace="-1024"/>
        </w:sectPr>
      </w:pPr>
    </w:p>
    <w:p>
      <w:pPr>
        <w:pStyle w:val="9"/>
        <w:snapToGrid w:val="0"/>
        <w:spacing w:line="580" w:lineRule="exact"/>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bidi="ar"/>
        </w:rPr>
        <w:t>附</w:t>
      </w:r>
      <w:r>
        <w:rPr>
          <w:rFonts w:hint="default" w:ascii="Times New Roman" w:hAnsi="Times New Roman" w:eastAsia="黑体" w:cs="Times New Roman"/>
          <w:b w:val="0"/>
          <w:bCs w:val="0"/>
          <w:kern w:val="0"/>
          <w:sz w:val="32"/>
          <w:szCs w:val="32"/>
          <w:highlight w:val="none"/>
          <w:lang w:val="en-US" w:eastAsia="zh-CN" w:bidi="ar"/>
        </w:rPr>
        <w:t>表3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20____</w:t>
      </w:r>
      <w:r>
        <w:rPr>
          <w:rFonts w:hint="default" w:ascii="Times New Roman" w:hAnsi="Times New Roman" w:eastAsia="方正小标宋简体" w:cs="Times New Roman"/>
          <w:b w:val="0"/>
          <w:bCs w:val="0"/>
          <w:color w:val="auto"/>
          <w:sz w:val="44"/>
          <w:szCs w:val="44"/>
          <w:u w:val="none"/>
          <w:lang w:val="en-US" w:eastAsia="zh-CN"/>
        </w:rPr>
        <w:t>年</w:t>
      </w:r>
      <w:r>
        <w:rPr>
          <w:rFonts w:hint="eastAsia" w:ascii="Times New Roman" w:hAnsi="Times New Roman" w:eastAsia="方正小标宋简体" w:cs="Times New Roman"/>
          <w:b w:val="0"/>
          <w:bCs w:val="0"/>
          <w:color w:val="auto"/>
          <w:sz w:val="44"/>
          <w:szCs w:val="44"/>
          <w:u w:val="none"/>
          <w:lang w:val="en-US" w:eastAsia="zh-CN"/>
        </w:rPr>
        <w:t>韶关市</w:t>
      </w:r>
      <w:r>
        <w:rPr>
          <w:rFonts w:hint="default" w:ascii="Times New Roman" w:hAnsi="Times New Roman" w:eastAsia="方正小标宋简体" w:cs="Times New Roman"/>
          <w:b w:val="0"/>
          <w:bCs w:val="0"/>
          <w:color w:val="auto"/>
          <w:kern w:val="2"/>
          <w:sz w:val="44"/>
          <w:szCs w:val="44"/>
          <w:lang w:val="en-US" w:eastAsia="zh-CN" w:bidi="ar-SA"/>
        </w:rPr>
        <w:t>职业技能竞赛获奖选手情况表</w:t>
      </w:r>
    </w:p>
    <w:p>
      <w:pPr>
        <w:spacing w:line="580" w:lineRule="exact"/>
        <w:ind w:right="-800" w:rightChars="-381"/>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0" w:lineRule="atLeast"/>
        <w:ind w:right="-800" w:rightChars="-381"/>
        <w:rPr>
          <w:rFonts w:hint="default" w:ascii="Times New Roman" w:hAnsi="Times New Roman" w:cs="Times New Roman"/>
          <w:sz w:val="28"/>
          <w:szCs w:val="28"/>
        </w:rPr>
      </w:pPr>
      <w:r>
        <w:rPr>
          <w:rFonts w:hint="default" w:ascii="Times New Roman" w:hAnsi="Times New Roman" w:cs="Times New Roman"/>
          <w:sz w:val="28"/>
          <w:szCs w:val="28"/>
          <w:lang w:val="en-US" w:eastAsia="zh-CN"/>
        </w:rPr>
        <w:t>主办</w:t>
      </w:r>
      <w:r>
        <w:rPr>
          <w:rFonts w:hint="default" w:ascii="Times New Roman" w:hAnsi="Times New Roman" w:cs="Times New Roman"/>
          <w:sz w:val="28"/>
          <w:szCs w:val="28"/>
        </w:rPr>
        <w:t>单位</w:t>
      </w:r>
      <w:r>
        <w:rPr>
          <w:rFonts w:hint="default" w:ascii="Times New Roman" w:hAnsi="Times New Roman" w:cs="Times New Roman"/>
          <w:sz w:val="28"/>
          <w:szCs w:val="28"/>
          <w:lang w:eastAsia="zh-CN"/>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8"/>
          <w:szCs w:val="28"/>
        </w:rPr>
        <w:t xml:space="preserve">年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月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日</w:t>
      </w:r>
    </w:p>
    <w:tbl>
      <w:tblPr>
        <w:tblStyle w:val="5"/>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56"/>
        <w:gridCol w:w="1931"/>
        <w:gridCol w:w="1986"/>
        <w:gridCol w:w="1269"/>
        <w:gridCol w:w="1656"/>
        <w:gridCol w:w="1269"/>
        <w:gridCol w:w="1272"/>
        <w:gridCol w:w="136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6" w:type="dxa"/>
            <w:vAlign w:val="center"/>
          </w:tcPr>
          <w:p>
            <w:pPr>
              <w:spacing w:before="115" w:beforeLines="20" w:after="115" w:afterLines="20" w:line="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756" w:type="dxa"/>
            <w:vAlign w:val="center"/>
          </w:tcPr>
          <w:p>
            <w:pPr>
              <w:spacing w:before="115" w:beforeLines="20" w:after="115" w:afterLines="20" w:line="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931" w:type="dxa"/>
            <w:vAlign w:val="center"/>
          </w:tcPr>
          <w:p>
            <w:pPr>
              <w:spacing w:before="115" w:beforeLines="20" w:after="115" w:afterLines="20" w:line="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工作单位</w:t>
            </w:r>
          </w:p>
        </w:tc>
        <w:tc>
          <w:tcPr>
            <w:tcW w:w="1986" w:type="dxa"/>
            <w:vAlign w:val="center"/>
          </w:tcPr>
          <w:p>
            <w:pPr>
              <w:spacing w:before="115" w:beforeLines="20" w:after="115" w:afterLines="20" w:line="0" w:lineRule="atLeast"/>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身份证号码</w:t>
            </w:r>
          </w:p>
        </w:tc>
        <w:tc>
          <w:tcPr>
            <w:tcW w:w="1269" w:type="dxa"/>
            <w:vAlign w:val="center"/>
          </w:tcPr>
          <w:p>
            <w:pPr>
              <w:spacing w:before="115" w:beforeLines="20" w:after="115" w:afterLines="20" w:line="0" w:lineRule="atLeast"/>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联系电话</w:t>
            </w:r>
          </w:p>
        </w:tc>
        <w:tc>
          <w:tcPr>
            <w:tcW w:w="1656" w:type="dxa"/>
            <w:vAlign w:val="center"/>
          </w:tcPr>
          <w:p>
            <w:pPr>
              <w:spacing w:before="115" w:beforeLines="20" w:after="115" w:afterLines="20" w:line="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竞赛</w:t>
            </w:r>
            <w:r>
              <w:rPr>
                <w:rFonts w:hint="default" w:ascii="Times New Roman" w:hAnsi="Times New Roman" w:eastAsia="黑体" w:cs="Times New Roman"/>
                <w:sz w:val="24"/>
                <w:szCs w:val="24"/>
                <w:highlight w:val="none"/>
                <w:lang w:val="en-US" w:eastAsia="zh-CN"/>
              </w:rPr>
              <w:t>项目</w:t>
            </w:r>
          </w:p>
        </w:tc>
        <w:tc>
          <w:tcPr>
            <w:tcW w:w="1269" w:type="dxa"/>
            <w:vAlign w:val="center"/>
          </w:tcPr>
          <w:p>
            <w:pPr>
              <w:spacing w:before="115" w:beforeLines="20" w:after="115" w:afterLines="20" w:line="0" w:lineRule="atLeast"/>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竞赛级别</w:t>
            </w:r>
          </w:p>
        </w:tc>
        <w:tc>
          <w:tcPr>
            <w:tcW w:w="1272" w:type="dxa"/>
            <w:vAlign w:val="center"/>
          </w:tcPr>
          <w:p>
            <w:pPr>
              <w:spacing w:before="115" w:beforeLines="20" w:after="115" w:afterLines="20" w:line="0" w:lineRule="atLeast"/>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决赛人数</w:t>
            </w:r>
          </w:p>
        </w:tc>
        <w:tc>
          <w:tcPr>
            <w:tcW w:w="1367" w:type="dxa"/>
            <w:vAlign w:val="center"/>
          </w:tcPr>
          <w:p>
            <w:pPr>
              <w:spacing w:before="115" w:beforeLines="20" w:after="115" w:afterLines="20" w:line="0" w:lineRule="atLeast"/>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竞赛</w:t>
            </w:r>
            <w:r>
              <w:rPr>
                <w:rFonts w:hint="default" w:ascii="Times New Roman" w:hAnsi="Times New Roman" w:eastAsia="黑体" w:cs="Times New Roman"/>
                <w:sz w:val="24"/>
                <w:szCs w:val="24"/>
                <w:lang w:eastAsia="zh-CN"/>
              </w:rPr>
              <w:t>排名</w:t>
            </w:r>
          </w:p>
        </w:tc>
        <w:tc>
          <w:tcPr>
            <w:tcW w:w="1164" w:type="dxa"/>
            <w:vAlign w:val="center"/>
          </w:tcPr>
          <w:p>
            <w:pPr>
              <w:spacing w:before="115" w:beforeLines="20" w:after="115" w:afterLines="20" w:line="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rPr>
                <w:rFonts w:hint="default" w:ascii="Times New Roman" w:hAnsi="Times New Roman" w:eastAsia="宋体" w:cs="Times New Roman"/>
                <w:sz w:val="24"/>
                <w:szCs w:val="24"/>
              </w:rPr>
            </w:pPr>
          </w:p>
        </w:tc>
        <w:tc>
          <w:tcPr>
            <w:tcW w:w="75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931"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98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spacing w:before="115" w:beforeLines="20" w:after="115" w:afterLines="20" w:line="0" w:lineRule="atLeast"/>
              <w:jc w:val="center"/>
              <w:rPr>
                <w:rFonts w:hint="default" w:ascii="Times New Roman" w:hAnsi="Times New Roman" w:eastAsia="宋体" w:cs="Times New Roman"/>
                <w:sz w:val="24"/>
                <w:szCs w:val="24"/>
              </w:rPr>
            </w:pPr>
          </w:p>
        </w:tc>
        <w:tc>
          <w:tcPr>
            <w:tcW w:w="165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72"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367"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164" w:type="dxa"/>
            <w:vAlign w:val="center"/>
          </w:tcPr>
          <w:p>
            <w:pPr>
              <w:spacing w:before="115" w:beforeLines="20" w:after="115" w:afterLines="20" w:line="0" w:lineRule="atLeas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rPr>
                <w:rFonts w:hint="default" w:ascii="Times New Roman" w:hAnsi="Times New Roman" w:eastAsia="宋体" w:cs="Times New Roman"/>
                <w:sz w:val="24"/>
                <w:szCs w:val="24"/>
              </w:rPr>
            </w:pPr>
          </w:p>
        </w:tc>
        <w:tc>
          <w:tcPr>
            <w:tcW w:w="756" w:type="dxa"/>
            <w:vAlign w:val="center"/>
          </w:tcPr>
          <w:p>
            <w:pPr>
              <w:rPr>
                <w:rFonts w:hint="default" w:ascii="Times New Roman" w:hAnsi="Times New Roman" w:eastAsia="宋体" w:cs="Times New Roman"/>
                <w:sz w:val="24"/>
                <w:szCs w:val="24"/>
              </w:rPr>
            </w:pPr>
          </w:p>
        </w:tc>
        <w:tc>
          <w:tcPr>
            <w:tcW w:w="1931" w:type="dxa"/>
            <w:vAlign w:val="center"/>
          </w:tcPr>
          <w:p>
            <w:pPr>
              <w:rPr>
                <w:rFonts w:hint="default" w:ascii="Times New Roman" w:hAnsi="Times New Roman" w:eastAsia="宋体" w:cs="Times New Roman"/>
                <w:sz w:val="24"/>
                <w:szCs w:val="24"/>
              </w:rPr>
            </w:pPr>
          </w:p>
        </w:tc>
        <w:tc>
          <w:tcPr>
            <w:tcW w:w="198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jc w:val="center"/>
              <w:rPr>
                <w:rFonts w:hint="default" w:ascii="Times New Roman" w:hAnsi="Times New Roman" w:cs="Times New Roman"/>
              </w:rPr>
            </w:pPr>
          </w:p>
        </w:tc>
        <w:tc>
          <w:tcPr>
            <w:tcW w:w="1656" w:type="dxa"/>
            <w:vAlign w:val="center"/>
          </w:tcPr>
          <w:p>
            <w:pPr>
              <w:rPr>
                <w:rFonts w:hint="default" w:ascii="Times New Roman" w:hAnsi="Times New Roman" w:cs="Times New Roman"/>
              </w:rPr>
            </w:pPr>
          </w:p>
        </w:tc>
        <w:tc>
          <w:tcPr>
            <w:tcW w:w="1269" w:type="dxa"/>
            <w:vAlign w:val="center"/>
          </w:tcPr>
          <w:p>
            <w:pPr>
              <w:rPr>
                <w:rFonts w:hint="default" w:ascii="Times New Roman" w:hAnsi="Times New Roman" w:eastAsia="宋体" w:cs="Times New Roman"/>
                <w:sz w:val="24"/>
                <w:szCs w:val="24"/>
              </w:rPr>
            </w:pPr>
          </w:p>
        </w:tc>
        <w:tc>
          <w:tcPr>
            <w:tcW w:w="1272" w:type="dxa"/>
            <w:vAlign w:val="center"/>
          </w:tcPr>
          <w:p>
            <w:pPr>
              <w:rPr>
                <w:rFonts w:hint="default" w:ascii="Times New Roman" w:hAnsi="Times New Roman" w:eastAsia="宋体" w:cs="Times New Roman"/>
                <w:sz w:val="24"/>
                <w:szCs w:val="24"/>
              </w:rPr>
            </w:pPr>
          </w:p>
        </w:tc>
        <w:tc>
          <w:tcPr>
            <w:tcW w:w="1367" w:type="dxa"/>
            <w:vAlign w:val="center"/>
          </w:tcPr>
          <w:p>
            <w:pPr>
              <w:rPr>
                <w:rFonts w:hint="default" w:ascii="Times New Roman" w:hAnsi="Times New Roman" w:eastAsia="宋体" w:cs="Times New Roman"/>
                <w:sz w:val="24"/>
                <w:szCs w:val="24"/>
              </w:rPr>
            </w:pPr>
          </w:p>
        </w:tc>
        <w:tc>
          <w:tcPr>
            <w:tcW w:w="1164" w:type="dxa"/>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rPr>
                <w:rFonts w:hint="default" w:ascii="Times New Roman" w:hAnsi="Times New Roman" w:eastAsia="宋体" w:cs="Times New Roman"/>
                <w:sz w:val="24"/>
                <w:szCs w:val="24"/>
              </w:rPr>
            </w:pPr>
          </w:p>
        </w:tc>
        <w:tc>
          <w:tcPr>
            <w:tcW w:w="756" w:type="dxa"/>
            <w:vAlign w:val="center"/>
          </w:tcPr>
          <w:p>
            <w:pPr>
              <w:rPr>
                <w:rFonts w:hint="default" w:ascii="Times New Roman" w:hAnsi="Times New Roman" w:eastAsia="宋体" w:cs="Times New Roman"/>
                <w:sz w:val="24"/>
                <w:szCs w:val="24"/>
              </w:rPr>
            </w:pPr>
          </w:p>
        </w:tc>
        <w:tc>
          <w:tcPr>
            <w:tcW w:w="1931" w:type="dxa"/>
            <w:vAlign w:val="center"/>
          </w:tcPr>
          <w:p>
            <w:pPr>
              <w:rPr>
                <w:rFonts w:hint="default" w:ascii="Times New Roman" w:hAnsi="Times New Roman" w:eastAsia="宋体" w:cs="Times New Roman"/>
                <w:sz w:val="24"/>
                <w:szCs w:val="24"/>
              </w:rPr>
            </w:pPr>
          </w:p>
        </w:tc>
        <w:tc>
          <w:tcPr>
            <w:tcW w:w="198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jc w:val="center"/>
              <w:rPr>
                <w:rFonts w:hint="default" w:ascii="Times New Roman" w:hAnsi="Times New Roman" w:cs="Times New Roman"/>
              </w:rPr>
            </w:pPr>
          </w:p>
        </w:tc>
        <w:tc>
          <w:tcPr>
            <w:tcW w:w="1656" w:type="dxa"/>
            <w:vAlign w:val="center"/>
          </w:tcPr>
          <w:p>
            <w:pPr>
              <w:rPr>
                <w:rFonts w:hint="default" w:ascii="Times New Roman" w:hAnsi="Times New Roman" w:cs="Times New Roman"/>
              </w:rPr>
            </w:pPr>
          </w:p>
        </w:tc>
        <w:tc>
          <w:tcPr>
            <w:tcW w:w="1269" w:type="dxa"/>
            <w:vAlign w:val="center"/>
          </w:tcPr>
          <w:p>
            <w:pPr>
              <w:rPr>
                <w:rFonts w:hint="default" w:ascii="Times New Roman" w:hAnsi="Times New Roman" w:eastAsia="宋体" w:cs="Times New Roman"/>
                <w:sz w:val="24"/>
                <w:szCs w:val="24"/>
              </w:rPr>
            </w:pPr>
          </w:p>
        </w:tc>
        <w:tc>
          <w:tcPr>
            <w:tcW w:w="1272" w:type="dxa"/>
            <w:vAlign w:val="center"/>
          </w:tcPr>
          <w:p>
            <w:pPr>
              <w:rPr>
                <w:rFonts w:hint="default" w:ascii="Times New Roman" w:hAnsi="Times New Roman" w:eastAsia="宋体" w:cs="Times New Roman"/>
                <w:sz w:val="24"/>
                <w:szCs w:val="24"/>
              </w:rPr>
            </w:pPr>
          </w:p>
        </w:tc>
        <w:tc>
          <w:tcPr>
            <w:tcW w:w="1367" w:type="dxa"/>
            <w:vAlign w:val="center"/>
          </w:tcPr>
          <w:p>
            <w:pPr>
              <w:rPr>
                <w:rFonts w:hint="default" w:ascii="Times New Roman" w:hAnsi="Times New Roman" w:eastAsia="宋体" w:cs="Times New Roman"/>
                <w:sz w:val="24"/>
                <w:szCs w:val="24"/>
              </w:rPr>
            </w:pPr>
          </w:p>
        </w:tc>
        <w:tc>
          <w:tcPr>
            <w:tcW w:w="1164" w:type="dxa"/>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rPr>
                <w:rFonts w:hint="default" w:ascii="Times New Roman" w:hAnsi="Times New Roman" w:eastAsia="宋体" w:cs="Times New Roman"/>
                <w:sz w:val="24"/>
                <w:szCs w:val="24"/>
              </w:rPr>
            </w:pPr>
          </w:p>
        </w:tc>
        <w:tc>
          <w:tcPr>
            <w:tcW w:w="756" w:type="dxa"/>
            <w:vAlign w:val="center"/>
          </w:tcPr>
          <w:p>
            <w:pPr>
              <w:rPr>
                <w:rFonts w:hint="default" w:ascii="Times New Roman" w:hAnsi="Times New Roman" w:eastAsia="宋体" w:cs="Times New Roman"/>
                <w:sz w:val="24"/>
                <w:szCs w:val="24"/>
              </w:rPr>
            </w:pPr>
          </w:p>
        </w:tc>
        <w:tc>
          <w:tcPr>
            <w:tcW w:w="1931" w:type="dxa"/>
            <w:vAlign w:val="center"/>
          </w:tcPr>
          <w:p>
            <w:pPr>
              <w:rPr>
                <w:rFonts w:hint="default" w:ascii="Times New Roman" w:hAnsi="Times New Roman" w:eastAsia="宋体" w:cs="Times New Roman"/>
                <w:sz w:val="24"/>
                <w:szCs w:val="24"/>
              </w:rPr>
            </w:pPr>
          </w:p>
        </w:tc>
        <w:tc>
          <w:tcPr>
            <w:tcW w:w="198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jc w:val="center"/>
              <w:rPr>
                <w:rFonts w:hint="default" w:ascii="Times New Roman" w:hAnsi="Times New Roman" w:cs="Times New Roman"/>
              </w:rPr>
            </w:pPr>
          </w:p>
        </w:tc>
        <w:tc>
          <w:tcPr>
            <w:tcW w:w="1656" w:type="dxa"/>
            <w:vAlign w:val="center"/>
          </w:tcPr>
          <w:p>
            <w:pPr>
              <w:rPr>
                <w:rFonts w:hint="default" w:ascii="Times New Roman" w:hAnsi="Times New Roman" w:cs="Times New Roman"/>
              </w:rPr>
            </w:pPr>
          </w:p>
        </w:tc>
        <w:tc>
          <w:tcPr>
            <w:tcW w:w="1269" w:type="dxa"/>
            <w:vAlign w:val="center"/>
          </w:tcPr>
          <w:p>
            <w:pPr>
              <w:rPr>
                <w:rFonts w:hint="default" w:ascii="Times New Roman" w:hAnsi="Times New Roman" w:eastAsia="宋体" w:cs="Times New Roman"/>
                <w:sz w:val="24"/>
                <w:szCs w:val="24"/>
              </w:rPr>
            </w:pPr>
          </w:p>
        </w:tc>
        <w:tc>
          <w:tcPr>
            <w:tcW w:w="1272" w:type="dxa"/>
            <w:vAlign w:val="center"/>
          </w:tcPr>
          <w:p>
            <w:pPr>
              <w:rPr>
                <w:rFonts w:hint="default" w:ascii="Times New Roman" w:hAnsi="Times New Roman" w:eastAsia="宋体" w:cs="Times New Roman"/>
                <w:sz w:val="24"/>
                <w:szCs w:val="24"/>
              </w:rPr>
            </w:pPr>
          </w:p>
        </w:tc>
        <w:tc>
          <w:tcPr>
            <w:tcW w:w="1367" w:type="dxa"/>
            <w:vAlign w:val="center"/>
          </w:tcPr>
          <w:p>
            <w:pPr>
              <w:rPr>
                <w:rFonts w:hint="default" w:ascii="Times New Roman" w:hAnsi="Times New Roman" w:eastAsia="宋体" w:cs="Times New Roman"/>
                <w:sz w:val="24"/>
                <w:szCs w:val="24"/>
              </w:rPr>
            </w:pPr>
          </w:p>
        </w:tc>
        <w:tc>
          <w:tcPr>
            <w:tcW w:w="1164" w:type="dxa"/>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rPr>
                <w:rFonts w:hint="default" w:ascii="Times New Roman" w:hAnsi="Times New Roman" w:eastAsia="宋体" w:cs="Times New Roman"/>
                <w:sz w:val="24"/>
                <w:szCs w:val="24"/>
              </w:rPr>
            </w:pPr>
          </w:p>
        </w:tc>
        <w:tc>
          <w:tcPr>
            <w:tcW w:w="756" w:type="dxa"/>
            <w:vAlign w:val="center"/>
          </w:tcPr>
          <w:p>
            <w:pPr>
              <w:rPr>
                <w:rFonts w:hint="default" w:ascii="Times New Roman" w:hAnsi="Times New Roman" w:eastAsia="宋体" w:cs="Times New Roman"/>
                <w:sz w:val="24"/>
                <w:szCs w:val="24"/>
              </w:rPr>
            </w:pPr>
          </w:p>
        </w:tc>
        <w:tc>
          <w:tcPr>
            <w:tcW w:w="1931" w:type="dxa"/>
            <w:vAlign w:val="center"/>
          </w:tcPr>
          <w:p>
            <w:pPr>
              <w:rPr>
                <w:rFonts w:hint="default" w:ascii="Times New Roman" w:hAnsi="Times New Roman" w:eastAsia="宋体" w:cs="Times New Roman"/>
                <w:sz w:val="24"/>
                <w:szCs w:val="24"/>
              </w:rPr>
            </w:pPr>
          </w:p>
        </w:tc>
        <w:tc>
          <w:tcPr>
            <w:tcW w:w="1986" w:type="dxa"/>
            <w:vAlign w:val="center"/>
          </w:tcPr>
          <w:p>
            <w:pPr>
              <w:spacing w:before="115" w:beforeLines="20" w:after="115" w:afterLines="20" w:line="0" w:lineRule="atLeast"/>
              <w:rPr>
                <w:rFonts w:hint="default" w:ascii="Times New Roman" w:hAnsi="Times New Roman" w:eastAsia="宋体" w:cs="Times New Roman"/>
                <w:sz w:val="24"/>
                <w:szCs w:val="24"/>
              </w:rPr>
            </w:pPr>
          </w:p>
        </w:tc>
        <w:tc>
          <w:tcPr>
            <w:tcW w:w="1269" w:type="dxa"/>
            <w:vAlign w:val="center"/>
          </w:tcPr>
          <w:p>
            <w:pPr>
              <w:jc w:val="center"/>
              <w:rPr>
                <w:rFonts w:hint="default" w:ascii="Times New Roman" w:hAnsi="Times New Roman" w:cs="Times New Roman"/>
              </w:rPr>
            </w:pPr>
          </w:p>
        </w:tc>
        <w:tc>
          <w:tcPr>
            <w:tcW w:w="1656" w:type="dxa"/>
            <w:vAlign w:val="center"/>
          </w:tcPr>
          <w:p>
            <w:pPr>
              <w:rPr>
                <w:rFonts w:hint="default" w:ascii="Times New Roman" w:hAnsi="Times New Roman" w:cs="Times New Roman"/>
              </w:rPr>
            </w:pPr>
          </w:p>
        </w:tc>
        <w:tc>
          <w:tcPr>
            <w:tcW w:w="1269" w:type="dxa"/>
            <w:vAlign w:val="center"/>
          </w:tcPr>
          <w:p>
            <w:pPr>
              <w:rPr>
                <w:rFonts w:hint="default" w:ascii="Times New Roman" w:hAnsi="Times New Roman" w:eastAsia="宋体" w:cs="Times New Roman"/>
                <w:sz w:val="24"/>
                <w:szCs w:val="24"/>
              </w:rPr>
            </w:pPr>
          </w:p>
        </w:tc>
        <w:tc>
          <w:tcPr>
            <w:tcW w:w="1272" w:type="dxa"/>
            <w:vAlign w:val="center"/>
          </w:tcPr>
          <w:p>
            <w:pPr>
              <w:rPr>
                <w:rFonts w:hint="default" w:ascii="Times New Roman" w:hAnsi="Times New Roman" w:eastAsia="宋体" w:cs="Times New Roman"/>
                <w:sz w:val="24"/>
                <w:szCs w:val="24"/>
              </w:rPr>
            </w:pPr>
          </w:p>
        </w:tc>
        <w:tc>
          <w:tcPr>
            <w:tcW w:w="1367" w:type="dxa"/>
            <w:vAlign w:val="center"/>
          </w:tcPr>
          <w:p>
            <w:pPr>
              <w:rPr>
                <w:rFonts w:hint="default" w:ascii="Times New Roman" w:hAnsi="Times New Roman" w:eastAsia="宋体" w:cs="Times New Roman"/>
                <w:sz w:val="24"/>
                <w:szCs w:val="24"/>
              </w:rPr>
            </w:pPr>
          </w:p>
        </w:tc>
        <w:tc>
          <w:tcPr>
            <w:tcW w:w="1164" w:type="dxa"/>
            <w:vAlign w:val="center"/>
          </w:tcPr>
          <w:p>
            <w:pPr>
              <w:rPr>
                <w:rFonts w:hint="default" w:ascii="Times New Roman" w:hAnsi="Times New Roman" w:eastAsia="宋体" w:cs="Times New Roman"/>
                <w:sz w:val="24"/>
                <w:szCs w:val="24"/>
              </w:rPr>
            </w:pPr>
          </w:p>
        </w:tc>
      </w:tr>
    </w:tbl>
    <w:p>
      <w:pPr>
        <w:spacing w:before="289" w:beforeLines="50" w:after="289" w:afterLines="50" w:line="0" w:lineRule="atLeas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rPr>
        <w:t>填表人：                  联系电话：</w:t>
      </w:r>
    </w:p>
    <w:p/>
    <w:sectPr>
      <w:footerReference r:id="rId4"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ΟGB2312">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2529840</wp:posOffset>
              </wp:positionH>
              <wp:positionV relativeFrom="paragraph">
                <wp:posOffset>-53340</wp:posOffset>
              </wp:positionV>
              <wp:extent cx="16129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1290" cy="200025"/>
                      </a:xfrm>
                      <a:prstGeom prst="rect">
                        <a:avLst/>
                      </a:prstGeom>
                      <a:noFill/>
                      <a:ln w="6350">
                        <a:noFill/>
                      </a:ln>
                      <a:effectLst/>
                    </wps:spPr>
                    <wps:txbx>
                      <w:txbxContent>
                        <w:p>
                          <w:pPr>
                            <w:pStyle w:val="3"/>
                            <w:rPr>
                              <w:rFonts w:ascii="Times New Roman" w:hAnsi="Times New Roman" w:cs="Times New Roman"/>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2pt;margin-top:-4.2pt;height:15.75pt;width:12.7pt;mso-position-horizontal-relative:margin;z-index:251659264;mso-width-relative:page;mso-height-relative:page;" filled="f" stroked="f" coordsize="21600,21600" o:gfxdata="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2s9OXYAAAACQEAAA8AAAAAAAAAAQAgAAAAIgAAAGRycy9kb3ducmV2&#10;LnhtbFBLAQIUABQAAAAIAIdO4kDxSgZSNQIAAGMEAAAOAAAAAAAAAAEAIAAAACcBAABkcnMvZTJv&#10;RG9jLnhtbFBLBQYAAAAABgAGAFkBAADOBQAAAAA=&#10;">
              <v:fill on="f" focussize="0,0"/>
              <v:stroke on="f" weight="0.5pt"/>
              <v:imagedata o:title=""/>
              <o:lock v:ext="edit" aspectratio="f"/>
              <v:textbox inset="0mm,0mm,0mm,0mm">
                <w:txbxContent>
                  <w:p>
                    <w:pPr>
                      <w:pStyle w:val="3"/>
                      <w:rPr>
                        <w:rFonts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- 18 -</w:t>
                          </w:r>
                          <w:r>
                            <w:rPr>
                              <w:rFonts w:hint="default" w:ascii="Times New Roman" w:hAnsi="Times New Roman" w:eastAsia="仿宋_GB2312"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- 18 -</w:t>
                    </w:r>
                    <w:r>
                      <w:rPr>
                        <w:rFonts w:hint="default" w:ascii="Times New Roman" w:hAnsi="Times New Roman" w:eastAsia="仿宋_GB2312"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01F7F"/>
    <w:rsid w:val="05035BC7"/>
    <w:rsid w:val="0733705B"/>
    <w:rsid w:val="167B343C"/>
    <w:rsid w:val="1BC738A2"/>
    <w:rsid w:val="2E775C8A"/>
    <w:rsid w:val="37901F7F"/>
    <w:rsid w:val="578E0ABF"/>
    <w:rsid w:val="5A9F7C3A"/>
    <w:rsid w:val="644D06E3"/>
    <w:rsid w:val="655A2308"/>
    <w:rsid w:val="65B740EF"/>
    <w:rsid w:val="70BA2B7E"/>
    <w:rsid w:val="755B649A"/>
    <w:rsid w:val="75CB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p51"/>
    <w:qFormat/>
    <w:uiPriority w:val="0"/>
    <w:rPr>
      <w:rFonts w:hint="eastAsia" w:ascii="ΟGB2312" w:eastAsia="ΟGB2312"/>
      <w:sz w:val="27"/>
    </w:rPr>
  </w:style>
  <w:style w:type="character" w:customStyle="1" w:styleId="8">
    <w:name w:val="NormalCharacter"/>
    <w:qFormat/>
    <w:uiPriority w:val="0"/>
    <w:rPr>
      <w:rFonts w:ascii="Calibri" w:hAnsi="Calibri" w:eastAsia="宋体" w:cs="Times New Roman"/>
    </w:rPr>
  </w:style>
  <w:style w:type="paragraph" w:customStyle="1" w:styleId="9">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0">
    <w:name w:val="正文缩进 New"/>
    <w:basedOn w:val="9"/>
    <w:qFormat/>
    <w:uiPriority w:val="0"/>
    <w:pPr>
      <w:ind w:firstLine="420" w:firstLineChars="200"/>
    </w:p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2022-08-24T00:59:00Z</dcterms:created>
  <dc:creator>蒙证尹</dc:creator>
  <cp:lastModifiedBy>蒙证尹</cp:lastModifiedBy>
  <dcterms:modified xsi:type="dcterms:W3CDTF">2022-09-23T02:48:28Z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E0A07ED84A264FF0B6E0C1757F483F48</vt:lpwstr>
  </property>
</Properties>
</file>