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4</w:t>
      </w:r>
    </w:p>
    <w:p>
      <w:pPr>
        <w:jc w:val="center"/>
        <w:rPr>
          <w:rFonts w:hint="eastAsia" w:ascii="仿宋_GB2312" w:hAnsi="仿宋_GB2312" w:eastAsia="仿宋_GB2312" w:cs="仿宋_GB2312"/>
          <w:color w:val="000000" w:themeColor="text1"/>
          <w:sz w:val="36"/>
          <w:szCs w:val="36"/>
          <w14:textFill>
            <w14:solidFill>
              <w14:schemeClr w14:val="tx1"/>
            </w14:solidFill>
          </w14:textFill>
        </w:rPr>
      </w:pPr>
    </w:p>
    <w:p>
      <w:pPr>
        <w:jc w:val="center"/>
        <w:rPr>
          <w:rFonts w:hint="eastAsia" w:ascii="仿宋_GB2312" w:hAnsi="仿宋_GB2312" w:eastAsia="仿宋_GB2312" w:cs="仿宋_GB2312"/>
          <w:color w:val="000000" w:themeColor="text1"/>
          <w:sz w:val="36"/>
          <w:szCs w:val="36"/>
          <w:u w:val="single"/>
          <w14:textFill>
            <w14:solidFill>
              <w14:schemeClr w14:val="tx1"/>
            </w14:solidFill>
          </w14:textFill>
        </w:rPr>
      </w:pPr>
    </w:p>
    <w:p>
      <w:pPr>
        <w:jc w:val="center"/>
        <w:rPr>
          <w:rFonts w:hint="eastAsia" w:ascii="仿宋_GB2312" w:hAnsi="仿宋_GB2312" w:eastAsia="仿宋_GB2312" w:cs="仿宋_GB2312"/>
          <w:color w:val="000000" w:themeColor="text1"/>
          <w:sz w:val="36"/>
          <w:szCs w:val="36"/>
          <w:u w:val="single"/>
          <w14:textFill>
            <w14:solidFill>
              <w14:schemeClr w14:val="tx1"/>
            </w14:solidFill>
          </w14:textFill>
        </w:rPr>
      </w:pPr>
    </w:p>
    <w:p>
      <w:pPr>
        <w:jc w:val="center"/>
        <w:rPr>
          <w:rFonts w:hint="eastAsia" w:ascii="仿宋_GB2312" w:hAnsi="仿宋_GB2312" w:eastAsia="仿宋_GB2312" w:cs="仿宋_GB2312"/>
          <w:color w:val="000000" w:themeColor="text1"/>
          <w:sz w:val="36"/>
          <w:szCs w:val="36"/>
          <w:u w:val="single"/>
          <w14:textFill>
            <w14:solidFill>
              <w14:schemeClr w14:val="tx1"/>
            </w14:solidFill>
          </w14:textFill>
        </w:rPr>
      </w:pPr>
    </w:p>
    <w:p>
      <w:pPr>
        <w:jc w:val="center"/>
        <w:rPr>
          <w:rFonts w:hint="eastAsia" w:ascii="仿宋_GB2312" w:hAnsi="仿宋_GB2312" w:eastAsia="仿宋_GB2312" w:cs="仿宋_GB2312"/>
          <w:color w:val="000000" w:themeColor="text1"/>
          <w:sz w:val="36"/>
          <w:szCs w:val="36"/>
          <w:u w:val="single"/>
          <w14:textFill>
            <w14:solidFill>
              <w14:schemeClr w14:val="tx1"/>
            </w14:solidFill>
          </w14:textFill>
        </w:rPr>
      </w:pPr>
    </w:p>
    <w:p>
      <w:pPr>
        <w:jc w:val="center"/>
        <w:rPr>
          <w:rFonts w:hint="eastAsia" w:ascii="仿宋_GB2312" w:hAnsi="仿宋_GB2312" w:eastAsia="仿宋_GB2312" w:cs="仿宋_GB2312"/>
          <w:color w:val="000000" w:themeColor="text1"/>
          <w:sz w:val="36"/>
          <w:szCs w:val="36"/>
          <w:u w:val="single"/>
          <w14:textFill>
            <w14:solidFill>
              <w14:schemeClr w14:val="tx1"/>
            </w14:solidFill>
          </w14:textFill>
        </w:rPr>
      </w:pPr>
    </w:p>
    <w:p>
      <w:pPr>
        <w:jc w:val="both"/>
        <w:rPr>
          <w:rFonts w:hint="eastAsia" w:ascii="仿宋_GB2312" w:hAnsi="仿宋_GB2312" w:eastAsia="仿宋_GB2312" w:cs="仿宋_GB2312"/>
          <w:color w:val="000000" w:themeColor="text1"/>
          <w:sz w:val="36"/>
          <w:szCs w:val="36"/>
          <w:u w:val="single"/>
          <w14:textFill>
            <w14:solidFill>
              <w14:schemeClr w14:val="tx1"/>
            </w14:solidFill>
          </w14:textFill>
        </w:rPr>
      </w:pPr>
    </w:p>
    <w:p>
      <w:pPr>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韶关</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市</w:t>
      </w:r>
      <w:r>
        <w:rPr>
          <w:rFonts w:hint="eastAsia" w:ascii="方正小标宋简体" w:hAnsi="方正小标宋简体" w:eastAsia="方正小标宋简体" w:cs="方正小标宋简体"/>
          <w:color w:val="000000" w:themeColor="text1"/>
          <w:sz w:val="44"/>
          <w:szCs w:val="44"/>
          <w:u w:val="single"/>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sz w:val="44"/>
          <w:szCs w:val="44"/>
          <w:u w:val="single"/>
          <w:lang w:eastAsia="zh-CN"/>
          <w14:textFill>
            <w14:solidFill>
              <w14:schemeClr w14:val="tx1"/>
            </w14:solidFill>
          </w14:textFill>
        </w:rPr>
        <w:t>火山粉葛</w:t>
      </w:r>
      <w:r>
        <w:rPr>
          <w:rFonts w:hint="eastAsia" w:ascii="方正小标宋简体" w:hAnsi="方正小标宋简体" w:eastAsia="方正小标宋简体" w:cs="方正小标宋简体"/>
          <w:color w:val="000000" w:themeColor="text1"/>
          <w:sz w:val="44"/>
          <w:szCs w:val="44"/>
          <w:u w:val="single"/>
          <w14:textFill>
            <w14:solidFill>
              <w14:schemeClr w14:val="tx1"/>
            </w14:solidFill>
          </w14:textFill>
        </w:rPr>
        <w:t xml:space="preserve">高产种植 </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职业技能培训</w:t>
      </w:r>
    </w:p>
    <w:p>
      <w:pPr>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课程标准</w:t>
      </w:r>
    </w:p>
    <w:p>
      <w:pPr>
        <w:jc w:val="center"/>
        <w:rPr>
          <w:rFonts w:hint="eastAsia" w:ascii="仿宋_GB2312" w:hAnsi="仿宋_GB2312" w:eastAsia="仿宋_GB2312" w:cs="仿宋_GB2312"/>
          <w:color w:val="000000" w:themeColor="text1"/>
          <w:sz w:val="36"/>
          <w:szCs w:val="36"/>
          <w14:textFill>
            <w14:solidFill>
              <w14:schemeClr w14:val="tx1"/>
            </w14:solidFill>
          </w14:textFill>
        </w:rPr>
      </w:pPr>
    </w:p>
    <w:p>
      <w:pPr>
        <w:rPr>
          <w:rFonts w:hint="eastAsia" w:ascii="仿宋_GB2312" w:hAnsi="仿宋_GB2312" w:eastAsia="仿宋_GB2312" w:cs="仿宋_GB2312"/>
          <w:color w:val="000000" w:themeColor="text1"/>
          <w:sz w:val="36"/>
          <w:szCs w:val="36"/>
          <w14:textFill>
            <w14:solidFill>
              <w14:schemeClr w14:val="tx1"/>
            </w14:solidFill>
          </w14:textFill>
        </w:rPr>
      </w:pPr>
    </w:p>
    <w:p>
      <w:pPr>
        <w:jc w:val="center"/>
        <w:rPr>
          <w:rFonts w:hint="eastAsia" w:ascii="仿宋_GB2312" w:hAnsi="仿宋_GB2312" w:eastAsia="仿宋_GB2312" w:cs="仿宋_GB2312"/>
          <w:color w:val="000000" w:themeColor="text1"/>
          <w:sz w:val="36"/>
          <w:szCs w:val="36"/>
          <w14:textFill>
            <w14:solidFill>
              <w14:schemeClr w14:val="tx1"/>
            </w14:solidFill>
          </w14:textFill>
        </w:rPr>
      </w:pPr>
    </w:p>
    <w:p>
      <w:pPr>
        <w:rPr>
          <w:rFonts w:hint="eastAsia" w:ascii="仿宋_GB2312" w:hAnsi="仿宋_GB2312" w:eastAsia="仿宋_GB2312" w:cs="仿宋_GB2312"/>
          <w:color w:val="000000" w:themeColor="text1"/>
          <w:sz w:val="36"/>
          <w:szCs w:val="36"/>
          <w14:textFill>
            <w14:solidFill>
              <w14:schemeClr w14:val="tx1"/>
            </w14:solidFill>
          </w14:textFill>
        </w:rPr>
      </w:pPr>
      <w:bookmarkStart w:id="0" w:name="_GoBack"/>
      <w:bookmarkEnd w:id="0"/>
    </w:p>
    <w:p>
      <w:pPr>
        <w:jc w:val="both"/>
        <w:rPr>
          <w:rFonts w:hint="eastAsia" w:ascii="仿宋_GB2312" w:hAnsi="仿宋_GB2312" w:eastAsia="仿宋_GB2312" w:cs="仿宋_GB2312"/>
          <w:color w:val="000000" w:themeColor="text1"/>
          <w:sz w:val="36"/>
          <w:szCs w:val="36"/>
          <w14:textFill>
            <w14:solidFill>
              <w14:schemeClr w14:val="tx1"/>
            </w14:solidFill>
          </w14:textFill>
        </w:rPr>
      </w:pPr>
    </w:p>
    <w:p>
      <w:pPr>
        <w:jc w:val="center"/>
        <w:rPr>
          <w:rFonts w:hint="eastAsia" w:ascii="仿宋_GB2312" w:hAnsi="仿宋_GB2312" w:eastAsia="仿宋_GB2312" w:cs="仿宋_GB2312"/>
          <w:color w:val="000000" w:themeColor="text1"/>
          <w:sz w:val="36"/>
          <w:szCs w:val="36"/>
          <w14:textFill>
            <w14:solidFill>
              <w14:schemeClr w14:val="tx1"/>
            </w14:solidFill>
          </w14:textFill>
        </w:rPr>
      </w:pPr>
    </w:p>
    <w:p>
      <w:pPr>
        <w:ind w:firstLine="1440" w:firstLineChars="400"/>
        <w:rPr>
          <w:rFonts w:hint="default" w:ascii="仿宋_GB2312" w:hAnsi="仿宋_GB2312" w:eastAsia="仿宋_GB2312" w:cs="仿宋_GB2312"/>
          <w:color w:val="000000" w:themeColor="text1"/>
          <w:sz w:val="36"/>
          <w:szCs w:val="36"/>
          <w:lang w:val="en-US" w:eastAsia="zh-CN"/>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t>送审日期：</w:t>
      </w:r>
      <w:r>
        <w:rPr>
          <w:rFonts w:hint="eastAsia" w:ascii="仿宋_GB2312" w:hAnsi="仿宋_GB2312" w:eastAsia="仿宋_GB2312" w:cs="仿宋_GB2312"/>
          <w:color w:val="000000" w:themeColor="text1"/>
          <w:sz w:val="36"/>
          <w:szCs w:val="36"/>
          <w:lang w:val="en-US" w:eastAsia="zh-CN"/>
          <w14:textFill>
            <w14:solidFill>
              <w14:schemeClr w14:val="tx1"/>
            </w14:solidFill>
          </w14:textFill>
        </w:rPr>
        <w:t>2021年6月21日</w:t>
      </w:r>
    </w:p>
    <w:p>
      <w:pPr>
        <w:ind w:firstLine="1440" w:firstLineChars="400"/>
        <w:rPr>
          <w:rFonts w:hint="eastAsia" w:ascii="仿宋_GB2312" w:hAnsi="仿宋_GB2312" w:eastAsia="仿宋_GB2312" w:cs="仿宋_GB2312"/>
          <w:color w:val="000000" w:themeColor="text1"/>
          <w:sz w:val="36"/>
          <w:szCs w:val="36"/>
          <w:lang w:eastAsia="zh-CN"/>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t>开发负责人：</w:t>
      </w:r>
      <w:r>
        <w:rPr>
          <w:rFonts w:hint="eastAsia" w:ascii="仿宋_GB2312" w:hAnsi="仿宋_GB2312" w:eastAsia="仿宋_GB2312" w:cs="仿宋_GB2312"/>
          <w:color w:val="000000" w:themeColor="text1"/>
          <w:sz w:val="36"/>
          <w:szCs w:val="36"/>
          <w:lang w:eastAsia="zh-CN"/>
          <w14:textFill>
            <w14:solidFill>
              <w14:schemeClr w14:val="tx1"/>
            </w14:solidFill>
          </w14:textFill>
        </w:rPr>
        <w:t>阮琴妹</w:t>
      </w:r>
    </w:p>
    <w:p>
      <w:pPr>
        <w:ind w:firstLine="1440" w:firstLineChars="400"/>
        <w:rPr>
          <w:rFonts w:hint="eastAsia" w:ascii="仿宋_GB2312" w:hAnsi="仿宋_GB2312" w:eastAsia="仿宋_GB2312" w:cs="仿宋_GB2312"/>
          <w:color w:val="000000" w:themeColor="text1"/>
          <w:sz w:val="36"/>
          <w:szCs w:val="36"/>
          <w:lang w:eastAsia="zh-CN"/>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t>开发单位(盖章)：</w:t>
      </w:r>
      <w:r>
        <w:rPr>
          <w:rFonts w:hint="eastAsia" w:ascii="仿宋_GB2312" w:hAnsi="仿宋_GB2312" w:eastAsia="仿宋_GB2312" w:cs="仿宋_GB2312"/>
          <w:color w:val="000000" w:themeColor="text1"/>
          <w:sz w:val="36"/>
          <w:szCs w:val="36"/>
          <w:lang w:eastAsia="zh-CN"/>
          <w14:textFill>
            <w14:solidFill>
              <w14:schemeClr w14:val="tx1"/>
            </w14:solidFill>
          </w14:textFill>
        </w:rPr>
        <w:t>韶关市农业协会</w:t>
      </w:r>
    </w:p>
    <w:p>
      <w:pPr>
        <w:rPr>
          <w:rFonts w:hint="eastAsia" w:ascii="仿宋_GB2312" w:hAnsi="仿宋_GB2312" w:eastAsia="仿宋_GB2312" w:cs="仿宋_GB2312"/>
          <w:color w:val="000000" w:themeColor="text1"/>
          <w:sz w:val="36"/>
          <w:szCs w:val="36"/>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br w:type="page"/>
      </w:r>
    </w:p>
    <w:p>
      <w:pPr>
        <w:jc w:val="center"/>
        <w:rPr>
          <w:rFonts w:hint="eastAsia" w:ascii="仿宋_GB2312" w:hAnsi="仿宋_GB2312" w:eastAsia="仿宋_GB2312" w:cs="仿宋_GB2312"/>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填写说明</w:t>
      </w:r>
    </w:p>
    <w:p>
      <w:pPr>
        <w:widowControl/>
        <w:spacing w:line="600" w:lineRule="atLeast"/>
        <w:ind w:firstLine="640"/>
        <w:jc w:val="left"/>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w:t>
      </w:r>
      <w:r>
        <w:rPr>
          <w:rFonts w:hint="eastAsia" w:ascii="仿宋_GB2312" w:hAnsi="仿宋_GB2312" w:eastAsia="仿宋_GB2312" w:cs="仿宋_GB2312"/>
          <w:color w:val="000000" w:themeColor="text1"/>
          <w:kern w:val="0"/>
          <w:sz w:val="32"/>
          <w:szCs w:val="32"/>
          <w14:textFill>
            <w14:solidFill>
              <w14:schemeClr w14:val="tx1"/>
            </w14:solidFill>
          </w14:textFill>
        </w:rPr>
        <w:t>以A4纸打印一式</w:t>
      </w:r>
      <w:r>
        <w:rPr>
          <w:rFonts w:hint="eastAsia" w:ascii="仿宋_GB2312" w:hAnsi="仿宋_GB2312" w:eastAsia="仿宋_GB2312" w:cs="仿宋_GB2312"/>
          <w:bCs/>
          <w:color w:val="000000" w:themeColor="text1"/>
          <w:kern w:val="0"/>
          <w:sz w:val="32"/>
          <w:szCs w:val="32"/>
          <w14:textFill>
            <w14:solidFill>
              <w14:schemeClr w14:val="tx1"/>
            </w14:solidFill>
          </w14:textFill>
        </w:rPr>
        <w:t>2份，在规定时间内提交</w:t>
      </w:r>
      <w:r>
        <w:rPr>
          <w:rFonts w:hint="eastAsia" w:ascii="仿宋_GB2312" w:hAnsi="仿宋_GB2312" w:eastAsia="仿宋_GB2312" w:cs="仿宋_GB2312"/>
          <w:b w:val="0"/>
          <w:bCs/>
          <w:i w:val="0"/>
          <w:caps w:val="0"/>
          <w:color w:val="000000" w:themeColor="text1"/>
          <w:spacing w:val="0"/>
          <w:kern w:val="0"/>
          <w:sz w:val="32"/>
          <w:szCs w:val="32"/>
          <w:shd w:val="clear" w:fill="auto"/>
          <w14:textFill>
            <w14:solidFill>
              <w14:schemeClr w14:val="tx1"/>
            </w14:solidFill>
          </w14:textFill>
        </w:rPr>
        <w:t>市培训课程标委会</w:t>
      </w:r>
      <w:r>
        <w:rPr>
          <w:rFonts w:hint="eastAsia" w:ascii="仿宋_GB2312" w:hAnsi="仿宋_GB2312" w:eastAsia="仿宋_GB2312" w:cs="仿宋_GB2312"/>
          <w:bCs/>
          <w:color w:val="000000" w:themeColor="text1"/>
          <w:kern w:val="0"/>
          <w:sz w:val="32"/>
          <w:szCs w:val="32"/>
          <w14:textFill>
            <w14:solidFill>
              <w14:schemeClr w14:val="tx1"/>
            </w14:solidFill>
          </w14:textFill>
        </w:rPr>
        <w:t>审核。</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二、培训课程标准工种名称需在《中华人民共和国职业分类大典(2015年版)》技能类职业(工种)中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,不能与原来名称相同，不能在</w:t>
      </w:r>
      <w:r>
        <w:rPr>
          <w:rFonts w:hint="eastAsia" w:ascii="仿宋_GB2312" w:hAnsi="仿宋_GB2312" w:eastAsia="仿宋_GB2312" w:cs="仿宋_GB2312"/>
          <w:color w:val="000000" w:themeColor="text1"/>
          <w:sz w:val="32"/>
          <w:szCs w:val="32"/>
          <w14:textFill>
            <w14:solidFill>
              <w14:schemeClr w14:val="tx1"/>
            </w14:solidFill>
          </w14:textFill>
        </w:rPr>
        <w:t>新职业、专项职业能力（含培训合格证）或技能单元等基础上进行细分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如涂装工（化工涂料）。</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三、培训说明可按培训实际需要，说明课程的适用对象、教师要求、培训场地要求、课程标准开发所依据的文献资料等等。</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培训要求及培训内容需清楚阐述课程整体架构设计及课程单元设计。课程整体设计是针对某一专题或某一类人群的培训需求所开发的课程架构。课程单元设计是在课程整体架构设计的基础上，具体确定每一单元的授课内容、授课方法、培训目标（受训对象完成培训后所要掌握的职业技能）、授课材料和配套教具等的过程。</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推荐适用教材：一是可以直接推荐现有课程教材：在所在行业或职业相关的课程教材中筛选推荐。二是可开发课程教材：如无适用的课程教材，可按培训目标、培训要求培训内容开发编写培训教材，开发培训教材须与项目的职业技能标准统一，教材内容与培训内容相匹配。如教材属开发性课程教材的，须附上教材电子稿件。</w:t>
      </w:r>
    </w:p>
    <w:p>
      <w:p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一、培训说明</w:t>
      </w:r>
    </w:p>
    <w:p>
      <w:pPr>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1.1 课标名称：</w:t>
      </w:r>
      <w:r>
        <w:rPr>
          <w:rFonts w:hint="eastAsia" w:ascii="仿宋_GB2312" w:hAnsi="仿宋_GB2312" w:eastAsia="仿宋_GB2312" w:cs="仿宋_GB2312"/>
          <w:color w:val="000000" w:themeColor="text1"/>
          <w:sz w:val="32"/>
          <w:szCs w:val="32"/>
          <w:lang w:eastAsia="zh-CN"/>
          <w14:textFill>
            <w14:solidFill>
              <w14:schemeClr w14:val="tx1"/>
            </w14:solidFill>
          </w14:textFill>
        </w:rPr>
        <w:t>韶</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关</w:t>
      </w:r>
      <w:r>
        <w:rPr>
          <w:rFonts w:hint="eastAsia" w:ascii="仿宋_GB2312" w:hAnsi="仿宋_GB2312" w:eastAsia="仿宋_GB2312" w:cs="仿宋_GB2312"/>
          <w:color w:val="000000" w:themeColor="text1"/>
          <w:sz w:val="32"/>
          <w:szCs w:val="32"/>
          <w:u w:val="none"/>
          <w14:textFill>
            <w14:solidFill>
              <w14:schemeClr w14:val="tx1"/>
            </w14:solidFill>
          </w14:textFill>
        </w:rPr>
        <w:t>市</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火山粉葛</w:t>
      </w:r>
      <w:r>
        <w:rPr>
          <w:rFonts w:hint="eastAsia" w:ascii="仿宋_GB2312" w:hAnsi="仿宋_GB2312" w:eastAsia="仿宋_GB2312" w:cs="仿宋_GB2312"/>
          <w:color w:val="000000" w:themeColor="text1"/>
          <w:sz w:val="32"/>
          <w:szCs w:val="32"/>
          <w:u w:val="none"/>
          <w14:textFill>
            <w14:solidFill>
              <w14:schemeClr w14:val="tx1"/>
            </w14:solidFill>
          </w14:textFill>
        </w:rPr>
        <w:t>高产种植职业技能培训课程标准</w:t>
      </w:r>
    </w:p>
    <w:p>
      <w:pPr>
        <w:ind w:left="319" w:leftChars="152" w:firstLine="320" w:firstLineChars="1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1.2 编制依据：本培训课程标准参考</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5-01-02-02园艺工</w:t>
      </w:r>
      <w:r>
        <w:rPr>
          <w:rFonts w:hint="eastAsia" w:ascii="仿宋_GB2312" w:hAnsi="仿宋_GB2312" w:eastAsia="仿宋_GB2312" w:cs="仿宋_GB2312"/>
          <w:color w:val="000000" w:themeColor="text1"/>
          <w:sz w:val="32"/>
          <w:szCs w:val="32"/>
          <w:u w:val="none"/>
          <w14:textFill>
            <w14:solidFill>
              <w14:schemeClr w14:val="tx1"/>
            </w14:solidFill>
          </w14:textFill>
        </w:rPr>
        <w:t>职业技能标准编制。</w:t>
      </w:r>
    </w:p>
    <w:p>
      <w:pPr>
        <w:ind w:firstLine="640" w:firstLineChars="200"/>
        <w:rPr>
          <w:rFonts w:hint="default" w:ascii="仿宋_GB2312" w:hAnsi="仿宋_GB2312" w:eastAsia="仿宋_GB2312" w:cs="仿宋_GB2312"/>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1.3 适用受训对象：</w:t>
      </w:r>
      <w:r>
        <w:rPr>
          <w:rFonts w:hint="eastAsia" w:ascii="仿宋_GB2312" w:hAnsi="仿宋_GB2312" w:eastAsia="仿宋_GB2312" w:cs="仿宋_GB2312"/>
          <w:color w:val="000000" w:themeColor="text1"/>
          <w:sz w:val="32"/>
          <w:szCs w:val="32"/>
          <w:lang w:eastAsia="zh-CN"/>
          <w14:textFill>
            <w14:solidFill>
              <w14:schemeClr w14:val="tx1"/>
            </w14:solidFill>
          </w14:textFill>
        </w:rPr>
        <w:t>运用或准备运用本项技术的广大种植户、农村劳动力或者创业人员，农技管理与推广人员、农业新型经营主体等。</w:t>
      </w:r>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1.4 培训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教</w:t>
      </w:r>
      <w:r>
        <w:rPr>
          <w:rFonts w:hint="eastAsia" w:ascii="仿宋_GB2312" w:hAnsi="仿宋_GB2312" w:eastAsia="仿宋_GB2312" w:cs="仿宋_GB2312"/>
          <w:color w:val="000000" w:themeColor="text1"/>
          <w:sz w:val="32"/>
          <w:szCs w:val="32"/>
          <w14:textFill>
            <w14:solidFill>
              <w14:schemeClr w14:val="tx1"/>
            </w14:solidFill>
          </w14:textFill>
        </w:rPr>
        <w:t>师要求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：培训教师应具备2名及2名以上具有大学专科及以上学历、</w:t>
      </w:r>
      <w:r>
        <w:rPr>
          <w:rFonts w:hint="eastAsia" w:ascii="仿宋_GB2312" w:hAnsi="仿宋_GB2312" w:eastAsia="仿宋_GB2312" w:cs="仿宋_GB2312"/>
          <w:color w:val="000000"/>
          <w:sz w:val="32"/>
          <w:szCs w:val="32"/>
        </w:rPr>
        <w:t>具备相关的</w:t>
      </w:r>
      <w:r>
        <w:rPr>
          <w:rFonts w:hint="eastAsia" w:ascii="仿宋_GB2312" w:hAnsi="仿宋_GB2312" w:eastAsia="仿宋_GB2312" w:cs="仿宋_GB2312"/>
          <w:color w:val="000000" w:themeColor="text1"/>
          <w:sz w:val="32"/>
          <w:szCs w:val="32"/>
          <w:lang w:eastAsia="zh-CN"/>
          <w14:textFill>
            <w14:solidFill>
              <w14:schemeClr w14:val="tx1"/>
            </w14:solidFill>
          </w14:textFill>
        </w:rPr>
        <w:t>三级</w:t>
      </w:r>
      <w:r>
        <w:rPr>
          <w:rFonts w:hint="eastAsia" w:ascii="仿宋_GB2312" w:hAnsi="仿宋_GB2312" w:eastAsia="仿宋_GB2312" w:cs="仿宋_GB2312"/>
          <w:color w:val="000000"/>
          <w:sz w:val="32"/>
          <w:szCs w:val="32"/>
        </w:rPr>
        <w:t>技能资格</w:t>
      </w:r>
      <w:r>
        <w:rPr>
          <w:rFonts w:hint="eastAsia" w:ascii="仿宋_GB2312" w:hAnsi="仿宋_GB2312" w:eastAsia="仿宋_GB2312" w:cs="仿宋_GB2312"/>
          <w:color w:val="000000" w:themeColor="text1"/>
          <w:sz w:val="32"/>
          <w:szCs w:val="32"/>
          <w:lang w:eastAsia="zh-CN"/>
          <w14:textFill>
            <w14:solidFill>
              <w14:schemeClr w14:val="tx1"/>
            </w14:solidFill>
          </w14:textFill>
        </w:rPr>
        <w:t>或助理农艺师及以上职业资格且具有丰富火山粉葛</w:t>
      </w:r>
      <w:r>
        <w:rPr>
          <w:rFonts w:hint="eastAsia" w:ascii="仿宋_GB2312" w:eastAsia="仿宋_GB2312"/>
          <w:color w:val="000000"/>
          <w:sz w:val="32"/>
          <w:szCs w:val="32"/>
        </w:rPr>
        <w:t>种植理论教学经验与实际操作经验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培训场地设备要求:</w:t>
      </w:r>
    </w:p>
    <w:p>
      <w:pPr>
        <w:ind w:firstLine="64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理论培训场地面积不少于</w:t>
      </w:r>
      <w:r>
        <w:rPr>
          <w:rFonts w:hint="eastAsia" w:ascii="仿宋_GB2312" w:hAnsi="仿宋_GB2312" w:eastAsia="仿宋_GB2312" w:cs="仿宋_GB2312"/>
          <w:color w:val="auto"/>
          <w:sz w:val="32"/>
          <w:szCs w:val="32"/>
          <w:lang w:val="en-US" w:eastAsia="zh-CN"/>
        </w:rPr>
        <w:t>60平方米，配置投影设备一套。</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操作</w:t>
      </w:r>
      <w:r>
        <w:rPr>
          <w:rFonts w:hint="eastAsia" w:ascii="仿宋_GB2312" w:eastAsia="仿宋_GB2312"/>
          <w:sz w:val="32"/>
          <w:szCs w:val="32"/>
        </w:rPr>
        <w:t>培训场地面积不少于</w:t>
      </w:r>
      <w:r>
        <w:rPr>
          <w:rFonts w:hint="eastAsia" w:ascii="仿宋_GB2312" w:hAnsi="仿宋_GB2312" w:eastAsia="仿宋_GB2312" w:cs="仿宋_GB2312"/>
          <w:sz w:val="32"/>
          <w:szCs w:val="32"/>
        </w:rPr>
        <w:t>200平方米，各类锄头、铁锹、</w:t>
      </w:r>
      <w:r>
        <w:rPr>
          <w:rFonts w:hint="eastAsia" w:ascii="仿宋_GB2312" w:hAnsi="仿宋_GB2312" w:eastAsia="仿宋_GB2312" w:cs="仿宋_GB2312"/>
          <w:sz w:val="32"/>
          <w:szCs w:val="32"/>
          <w:lang w:eastAsia="zh-CN"/>
        </w:rPr>
        <w:t>水果刀、手套、口罩</w:t>
      </w:r>
      <w:r>
        <w:rPr>
          <w:rFonts w:hint="eastAsia" w:ascii="仿宋_GB2312" w:hAnsi="仿宋_GB2312" w:eastAsia="仿宋_GB2312" w:cs="仿宋_GB2312"/>
          <w:sz w:val="32"/>
          <w:szCs w:val="32"/>
        </w:rPr>
        <w:t>、</w:t>
      </w:r>
      <w:r>
        <w:rPr>
          <w:rFonts w:hint="eastAsia" w:ascii="仿宋_GB2312" w:eastAsia="仿宋_GB2312"/>
          <w:sz w:val="32"/>
          <w:szCs w:val="32"/>
        </w:rPr>
        <w:t>有机肥</w:t>
      </w:r>
      <w:r>
        <w:rPr>
          <w:rFonts w:hint="eastAsia" w:ascii="仿宋_GB2312" w:hAnsi="仿宋_GB2312" w:eastAsia="仿宋_GB2312" w:cs="仿宋_GB2312"/>
          <w:sz w:val="32"/>
          <w:szCs w:val="32"/>
        </w:rPr>
        <w:t>、农药</w:t>
      </w:r>
      <w:r>
        <w:rPr>
          <w:rFonts w:hint="eastAsia" w:ascii="仿宋_GB2312" w:hAnsi="宋体" w:eastAsia="仿宋_GB2312"/>
          <w:sz w:val="32"/>
          <w:szCs w:val="32"/>
        </w:rPr>
        <w:t>、量杯</w:t>
      </w:r>
      <w:r>
        <w:rPr>
          <w:rFonts w:hint="eastAsia" w:ascii="仿宋_GB2312" w:hAnsi="宋体" w:eastAsia="仿宋_GB2312"/>
          <w:sz w:val="32"/>
          <w:szCs w:val="32"/>
          <w:lang w:eastAsia="zh-CN"/>
        </w:rPr>
        <w:t>、称、打药机</w:t>
      </w:r>
      <w:r>
        <w:rPr>
          <w:rFonts w:hint="eastAsia" w:ascii="仿宋_GB2312" w:hAnsi="宋体" w:eastAsia="仿宋_GB2312"/>
          <w:sz w:val="32"/>
          <w:szCs w:val="32"/>
        </w:rPr>
        <w:t>等工具设备一批</w:t>
      </w:r>
      <w:r>
        <w:rPr>
          <w:rFonts w:hint="eastAsia" w:ascii="仿宋_GB2312" w:hAnsi="仿宋_GB2312" w:eastAsia="仿宋_GB2312" w:cs="仿宋_GB2312"/>
          <w:sz w:val="32"/>
          <w:szCs w:val="32"/>
        </w:rPr>
        <w:t>。</w:t>
      </w:r>
    </w:p>
    <w:p>
      <w:pPr>
        <w:spacing w:line="360" w:lineRule="auto"/>
        <w:ind w:firstLine="640" w:firstLineChars="200"/>
        <w:rPr>
          <w:rFonts w:hint="eastAsia" w:ascii="黑体" w:hAnsi="黑体" w:eastAsia="黑体" w:cs="黑体"/>
          <w:b w:val="0"/>
          <w:bCs w:val="0"/>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 xml:space="preserve">6 </w:t>
      </w:r>
      <w:r>
        <w:rPr>
          <w:rFonts w:hint="eastAsia" w:ascii="仿宋_GB2312" w:hAnsi="仿宋_GB2312" w:eastAsia="仿宋_GB2312" w:cs="仿宋_GB2312"/>
          <w:sz w:val="32"/>
          <w:szCs w:val="32"/>
        </w:rPr>
        <w:t>考核要求：</w:t>
      </w:r>
      <w:r>
        <w:rPr>
          <w:rFonts w:hint="eastAsia" w:ascii="仿宋_GB2312" w:hAnsi="仿宋_GB2312" w:eastAsia="仿宋_GB2312" w:cs="仿宋_GB2312"/>
          <w:bCs/>
          <w:sz w:val="32"/>
          <w:szCs w:val="32"/>
        </w:rPr>
        <w:t>本课程以培训学员掌握</w:t>
      </w:r>
      <w:r>
        <w:rPr>
          <w:rFonts w:hint="eastAsia" w:ascii="仿宋_GB2312" w:hAnsi="仿宋_GB2312" w:eastAsia="仿宋_GB2312" w:cs="仿宋_GB2312"/>
          <w:bCs/>
          <w:sz w:val="32"/>
          <w:szCs w:val="32"/>
          <w:lang w:eastAsia="zh-CN"/>
        </w:rPr>
        <w:t>火山粉葛</w:t>
      </w:r>
      <w:r>
        <w:rPr>
          <w:rFonts w:hint="eastAsia" w:ascii="仿宋_GB2312" w:hAnsi="仿宋_GB2312" w:eastAsia="仿宋_GB2312" w:cs="仿宋_GB2312"/>
          <w:bCs/>
          <w:sz w:val="32"/>
          <w:szCs w:val="32"/>
        </w:rPr>
        <w:t>高产种植技术要领、育苗与壮苗、田间管理操作及</w:t>
      </w:r>
      <w:r>
        <w:rPr>
          <w:rFonts w:hint="eastAsia" w:ascii="仿宋_GB2312" w:hAnsi="仿宋_GB2312" w:eastAsia="仿宋_GB2312" w:cs="仿宋_GB2312"/>
          <w:bCs/>
          <w:sz w:val="32"/>
          <w:szCs w:val="32"/>
          <w:lang w:eastAsia="zh-CN"/>
        </w:rPr>
        <w:t>火山粉葛</w:t>
      </w:r>
      <w:r>
        <w:rPr>
          <w:rFonts w:hint="eastAsia" w:ascii="仿宋_GB2312" w:hAnsi="仿宋_GB2312" w:eastAsia="仿宋_GB2312" w:cs="仿宋_GB2312"/>
          <w:bCs/>
          <w:sz w:val="32"/>
          <w:szCs w:val="32"/>
        </w:rPr>
        <w:t>病虫害识别与防治方法等能力为重点，教学时突出学员能力训练，考核采用现场考核形式，重点考核各技术环节学员掌握程度。</w:t>
      </w:r>
    </w:p>
    <w:p>
      <w:pPr>
        <w:spacing w:line="360" w:lineRule="auto"/>
        <w:ind w:firstLine="640" w:firstLineChars="200"/>
        <w:rPr>
          <w:rFonts w:ascii="宋体" w:hAnsi="宋体" w:eastAsia="宋体" w:cs="宋体"/>
          <w:sz w:val="28"/>
          <w:szCs w:val="28"/>
        </w:rPr>
      </w:pPr>
      <w:r>
        <w:rPr>
          <w:rFonts w:hint="eastAsia" w:ascii="黑体" w:hAnsi="黑体" w:eastAsia="黑体" w:cs="黑体"/>
          <w:b w:val="0"/>
          <w:bCs w:val="0"/>
          <w:sz w:val="32"/>
          <w:szCs w:val="32"/>
        </w:rPr>
        <w:t>二、培训目标</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通过本</w:t>
      </w:r>
      <w:r>
        <w:rPr>
          <w:rFonts w:hint="eastAsia" w:ascii="仿宋_GB2312" w:hAnsi="仿宋_GB2312" w:eastAsia="仿宋_GB2312" w:cs="仿宋_GB2312"/>
          <w:sz w:val="32"/>
          <w:szCs w:val="32"/>
          <w:lang w:eastAsia="zh-CN"/>
        </w:rPr>
        <w:t>培训课程</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bCs/>
          <w:sz w:val="32"/>
          <w:szCs w:val="32"/>
        </w:rPr>
        <w:t>理论知识学习和操作技能训练，培训对象能够具备</w:t>
      </w:r>
      <w:r>
        <w:rPr>
          <w:rFonts w:hint="eastAsia" w:ascii="仿宋_GB2312" w:hAnsi="仿宋_GB2312" w:eastAsia="仿宋_GB2312" w:cs="仿宋_GB2312"/>
          <w:bCs/>
          <w:sz w:val="32"/>
          <w:szCs w:val="32"/>
          <w:lang w:eastAsia="zh-CN"/>
        </w:rPr>
        <w:t>火山粉葛</w:t>
      </w:r>
      <w:r>
        <w:rPr>
          <w:rFonts w:hint="eastAsia" w:ascii="仿宋_GB2312" w:hAnsi="仿宋_GB2312" w:eastAsia="仿宋_GB2312" w:cs="仿宋_GB2312"/>
          <w:bCs/>
          <w:sz w:val="32"/>
          <w:szCs w:val="32"/>
        </w:rPr>
        <w:t>高产种植</w:t>
      </w:r>
      <w:r>
        <w:rPr>
          <w:rFonts w:hint="eastAsia" w:ascii="仿宋_GB2312" w:hAnsi="仿宋_GB2312" w:eastAsia="仿宋_GB2312" w:cs="仿宋_GB2312"/>
          <w:sz w:val="32"/>
          <w:szCs w:val="32"/>
          <w:lang w:eastAsia="zh-CN"/>
        </w:rPr>
        <w:t>培训课程</w:t>
      </w:r>
      <w:r>
        <w:rPr>
          <w:rFonts w:hint="eastAsia" w:ascii="仿宋_GB2312" w:hAnsi="仿宋_GB2312" w:eastAsia="仿宋_GB2312" w:cs="仿宋_GB2312"/>
          <w:bCs/>
          <w:sz w:val="32"/>
          <w:szCs w:val="32"/>
        </w:rPr>
        <w:t>所要求的理论知识和实际操作技能，能胜任</w:t>
      </w:r>
      <w:r>
        <w:rPr>
          <w:rFonts w:hint="eastAsia" w:ascii="仿宋_GB2312" w:hAnsi="仿宋_GB2312" w:eastAsia="仿宋_GB2312" w:cs="仿宋_GB2312"/>
          <w:bCs/>
          <w:sz w:val="32"/>
          <w:szCs w:val="32"/>
          <w:lang w:eastAsia="zh-CN"/>
        </w:rPr>
        <w:t>火山粉葛</w:t>
      </w:r>
      <w:r>
        <w:rPr>
          <w:rFonts w:hint="eastAsia" w:ascii="仿宋_GB2312" w:hAnsi="仿宋_GB2312" w:eastAsia="仿宋_GB2312" w:cs="仿宋_GB2312"/>
          <w:bCs/>
          <w:sz w:val="32"/>
          <w:szCs w:val="32"/>
        </w:rPr>
        <w:t>高产种植技术员的岗位。</w:t>
      </w:r>
    </w:p>
    <w:p>
      <w:pPr>
        <w:spacing w:line="360" w:lineRule="auto"/>
        <w:ind w:firstLine="640" w:firstLineChars="200"/>
        <w:rPr>
          <w:rFonts w:ascii="宋体" w:hAnsi="宋体" w:eastAsia="宋体" w:cs="宋体"/>
          <w:sz w:val="28"/>
          <w:szCs w:val="28"/>
        </w:rPr>
      </w:pPr>
      <w:r>
        <w:rPr>
          <w:rFonts w:hint="eastAsia" w:ascii="黑体" w:hAnsi="黑体" w:eastAsia="黑体" w:cs="黑体"/>
          <w:b w:val="0"/>
          <w:bCs w:val="0"/>
          <w:sz w:val="32"/>
          <w:szCs w:val="32"/>
        </w:rPr>
        <w:t>三、单元课时分配表</w:t>
      </w:r>
      <w:r>
        <w:rPr>
          <w:rFonts w:hint="eastAsia" w:ascii="宋体" w:hAnsi="宋体" w:eastAsia="宋体" w:cs="宋体"/>
          <w:sz w:val="28"/>
          <w:szCs w:val="28"/>
        </w:rPr>
        <w:t xml:space="preserve"> </w:t>
      </w:r>
    </w:p>
    <w:tbl>
      <w:tblPr>
        <w:tblStyle w:val="9"/>
        <w:tblW w:w="8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5328"/>
        <w:gridCol w:w="1125"/>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9" w:type="dxa"/>
            <w:vMerge w:val="restart"/>
            <w:vAlign w:val="center"/>
          </w:tcPr>
          <w:p>
            <w:pPr>
              <w:spacing w:line="360" w:lineRule="auto"/>
              <w:jc w:val="cente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序号</w:t>
            </w:r>
          </w:p>
        </w:tc>
        <w:tc>
          <w:tcPr>
            <w:tcW w:w="5328" w:type="dxa"/>
            <w:vMerge w:val="restart"/>
            <w:vAlign w:val="center"/>
          </w:tcPr>
          <w:p>
            <w:pPr>
              <w:spacing w:line="360" w:lineRule="auto"/>
              <w:jc w:val="cente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课程单元名称</w:t>
            </w:r>
          </w:p>
        </w:tc>
        <w:tc>
          <w:tcPr>
            <w:tcW w:w="2270" w:type="dxa"/>
            <w:gridSpan w:val="2"/>
            <w:vAlign w:val="center"/>
          </w:tcPr>
          <w:p>
            <w:pPr>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课时分配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9" w:type="dxa"/>
            <w:vMerge w:val="continue"/>
            <w:vAlign w:val="center"/>
          </w:tcPr>
          <w:p>
            <w:pPr>
              <w:spacing w:line="360" w:lineRule="auto"/>
              <w:jc w:val="center"/>
              <w:rPr>
                <w:rFonts w:hint="eastAsia" w:ascii="仿宋_GB2312" w:hAnsi="仿宋_GB2312" w:eastAsia="仿宋_GB2312" w:cs="仿宋_GB2312"/>
                <w:color w:val="000000" w:themeColor="text1"/>
                <w:kern w:val="0"/>
                <w:sz w:val="32"/>
                <w:szCs w:val="32"/>
                <w14:textFill>
                  <w14:solidFill>
                    <w14:schemeClr w14:val="tx1"/>
                  </w14:solidFill>
                </w14:textFill>
              </w:rPr>
            </w:pPr>
          </w:p>
        </w:tc>
        <w:tc>
          <w:tcPr>
            <w:tcW w:w="5328" w:type="dxa"/>
            <w:vMerge w:val="continue"/>
            <w:vAlign w:val="center"/>
          </w:tcPr>
          <w:p>
            <w:pPr>
              <w:spacing w:line="360" w:lineRule="auto"/>
              <w:jc w:val="center"/>
              <w:rPr>
                <w:rFonts w:hint="eastAsia" w:ascii="仿宋_GB2312" w:hAnsi="仿宋_GB2312" w:eastAsia="仿宋_GB2312" w:cs="仿宋_GB2312"/>
                <w:color w:val="000000" w:themeColor="text1"/>
                <w:kern w:val="0"/>
                <w:sz w:val="32"/>
                <w:szCs w:val="32"/>
                <w14:textFill>
                  <w14:solidFill>
                    <w14:schemeClr w14:val="tx1"/>
                  </w14:solidFill>
                </w14:textFill>
              </w:rPr>
            </w:pPr>
          </w:p>
        </w:tc>
        <w:tc>
          <w:tcPr>
            <w:tcW w:w="1125" w:type="dxa"/>
            <w:vAlign w:val="center"/>
          </w:tcPr>
          <w:p>
            <w:pPr>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理论</w:t>
            </w:r>
          </w:p>
        </w:tc>
        <w:tc>
          <w:tcPr>
            <w:tcW w:w="1145" w:type="dxa"/>
            <w:vAlign w:val="center"/>
          </w:tcPr>
          <w:p>
            <w:pPr>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9" w:type="dxa"/>
          </w:tcPr>
          <w:p>
            <w:pPr>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p>
        </w:tc>
        <w:tc>
          <w:tcPr>
            <w:tcW w:w="5328" w:type="dxa"/>
            <w:vAlign w:val="top"/>
          </w:tcPr>
          <w:p>
            <w:pPr>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第</w:t>
            </w:r>
            <w:r>
              <w:rPr>
                <w:rFonts w:hint="eastAsia" w:ascii="仿宋_GB2312" w:hAnsi="仿宋_GB2312" w:eastAsia="仿宋_GB2312" w:cs="仿宋_GB2312"/>
                <w:bCs/>
                <w:sz w:val="32"/>
                <w:szCs w:val="32"/>
                <w:lang w:eastAsia="zh-CN"/>
              </w:rPr>
              <w:t>一</w:t>
            </w:r>
            <w:r>
              <w:rPr>
                <w:rFonts w:hint="eastAsia" w:ascii="仿宋_GB2312" w:hAnsi="仿宋_GB2312" w:eastAsia="仿宋_GB2312" w:cs="仿宋_GB2312"/>
                <w:bCs/>
                <w:sz w:val="32"/>
                <w:szCs w:val="32"/>
              </w:rPr>
              <w:t>章</w:t>
            </w:r>
            <w:r>
              <w:rPr>
                <w:rFonts w:hint="eastAsia" w:ascii="仿宋_GB2312" w:hAnsi="仿宋_GB2312" w:eastAsia="仿宋_GB2312" w:cs="仿宋_GB2312"/>
                <w:bCs/>
                <w:sz w:val="32"/>
                <w:szCs w:val="32"/>
                <w:lang w:val="en-US" w:eastAsia="zh-CN"/>
              </w:rPr>
              <w:t xml:space="preserve">  粉葛的生物学特性</w:t>
            </w:r>
          </w:p>
        </w:tc>
        <w:tc>
          <w:tcPr>
            <w:tcW w:w="1125" w:type="dxa"/>
            <w:vAlign w:val="center"/>
          </w:tcPr>
          <w:p>
            <w:pPr>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w:t>
            </w:r>
          </w:p>
        </w:tc>
        <w:tc>
          <w:tcPr>
            <w:tcW w:w="1145" w:type="dxa"/>
            <w:vAlign w:val="center"/>
          </w:tcPr>
          <w:p>
            <w:pPr>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9" w:type="dxa"/>
          </w:tcPr>
          <w:p>
            <w:pPr>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p>
        </w:tc>
        <w:tc>
          <w:tcPr>
            <w:tcW w:w="5328" w:type="dxa"/>
            <w:vAlign w:val="top"/>
          </w:tcPr>
          <w:p>
            <w:pPr>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第</w:t>
            </w:r>
            <w:r>
              <w:rPr>
                <w:rFonts w:hint="eastAsia" w:ascii="仿宋_GB2312" w:hAnsi="仿宋_GB2312" w:eastAsia="仿宋_GB2312" w:cs="仿宋_GB2312"/>
                <w:bCs/>
                <w:sz w:val="32"/>
                <w:szCs w:val="32"/>
                <w:lang w:eastAsia="zh-CN"/>
              </w:rPr>
              <w:t>二</w:t>
            </w:r>
            <w:r>
              <w:rPr>
                <w:rFonts w:hint="eastAsia" w:ascii="仿宋_GB2312" w:hAnsi="仿宋_GB2312" w:eastAsia="仿宋_GB2312" w:cs="仿宋_GB2312"/>
                <w:bCs/>
                <w:sz w:val="32"/>
                <w:szCs w:val="32"/>
              </w:rPr>
              <w:t>章</w:t>
            </w:r>
            <w:r>
              <w:rPr>
                <w:rFonts w:hint="eastAsia" w:ascii="仿宋_GB2312" w:hAnsi="仿宋_GB2312" w:eastAsia="仿宋_GB2312" w:cs="仿宋_GB2312"/>
                <w:bCs/>
                <w:sz w:val="32"/>
                <w:szCs w:val="32"/>
                <w:lang w:val="en-US" w:eastAsia="zh-CN"/>
              </w:rPr>
              <w:t xml:space="preserve">  火山粉葛栽培技术</w:t>
            </w:r>
          </w:p>
        </w:tc>
        <w:tc>
          <w:tcPr>
            <w:tcW w:w="1125" w:type="dxa"/>
            <w:vAlign w:val="center"/>
          </w:tcPr>
          <w:p>
            <w:pPr>
              <w:jc w:val="center"/>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5</w:t>
            </w:r>
          </w:p>
        </w:tc>
        <w:tc>
          <w:tcPr>
            <w:tcW w:w="1145" w:type="dxa"/>
            <w:vAlign w:val="center"/>
          </w:tcPr>
          <w:p>
            <w:pPr>
              <w:jc w:val="cente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9" w:type="dxa"/>
          </w:tcPr>
          <w:p>
            <w:pPr>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w:t>
            </w:r>
          </w:p>
        </w:tc>
        <w:tc>
          <w:tcPr>
            <w:tcW w:w="5328" w:type="dxa"/>
            <w:vAlign w:val="top"/>
          </w:tcPr>
          <w:p>
            <w:pPr>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第</w:t>
            </w:r>
            <w:r>
              <w:rPr>
                <w:rFonts w:hint="eastAsia" w:ascii="仿宋_GB2312" w:hAnsi="仿宋_GB2312" w:eastAsia="仿宋_GB2312" w:cs="仿宋_GB2312"/>
                <w:bCs/>
                <w:sz w:val="32"/>
                <w:szCs w:val="32"/>
                <w:lang w:eastAsia="zh-CN"/>
              </w:rPr>
              <w:t>三</w:t>
            </w:r>
            <w:r>
              <w:rPr>
                <w:rFonts w:hint="eastAsia" w:ascii="仿宋_GB2312" w:hAnsi="仿宋_GB2312" w:eastAsia="仿宋_GB2312" w:cs="仿宋_GB2312"/>
                <w:bCs/>
                <w:sz w:val="32"/>
                <w:szCs w:val="32"/>
              </w:rPr>
              <w:t xml:space="preserve">章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lang w:eastAsia="zh-CN"/>
              </w:rPr>
              <w:t>火山粉葛</w:t>
            </w:r>
            <w:r>
              <w:rPr>
                <w:rFonts w:hint="eastAsia" w:ascii="仿宋_GB2312" w:hAnsi="仿宋_GB2312" w:eastAsia="仿宋_GB2312" w:cs="仿宋_GB2312"/>
                <w:bCs/>
                <w:sz w:val="32"/>
                <w:szCs w:val="32"/>
              </w:rPr>
              <w:t>病虫害</w:t>
            </w:r>
            <w:r>
              <w:rPr>
                <w:rFonts w:hint="eastAsia" w:ascii="仿宋_GB2312" w:hAnsi="仿宋_GB2312" w:eastAsia="仿宋_GB2312" w:cs="仿宋_GB2312"/>
                <w:bCs/>
                <w:sz w:val="32"/>
                <w:szCs w:val="32"/>
                <w:lang w:eastAsia="zh-CN"/>
              </w:rPr>
              <w:t>及其</w:t>
            </w:r>
            <w:r>
              <w:rPr>
                <w:rFonts w:hint="eastAsia" w:ascii="仿宋_GB2312" w:hAnsi="仿宋_GB2312" w:eastAsia="仿宋_GB2312" w:cs="仿宋_GB2312"/>
                <w:bCs/>
                <w:sz w:val="32"/>
                <w:szCs w:val="32"/>
              </w:rPr>
              <w:t>防治</w:t>
            </w:r>
          </w:p>
        </w:tc>
        <w:tc>
          <w:tcPr>
            <w:tcW w:w="1125" w:type="dxa"/>
            <w:vAlign w:val="center"/>
          </w:tcPr>
          <w:p>
            <w:pPr>
              <w:jc w:val="center"/>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w:t>
            </w:r>
          </w:p>
        </w:tc>
        <w:tc>
          <w:tcPr>
            <w:tcW w:w="1145" w:type="dxa"/>
            <w:vAlign w:val="center"/>
          </w:tcPr>
          <w:p>
            <w:pPr>
              <w:jc w:val="cente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9" w:type="dxa"/>
          </w:tcPr>
          <w:p>
            <w:pPr>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w:t>
            </w:r>
          </w:p>
        </w:tc>
        <w:tc>
          <w:tcPr>
            <w:tcW w:w="5328" w:type="dxa"/>
            <w:vAlign w:val="top"/>
          </w:tcPr>
          <w:p>
            <w:pPr>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第</w:t>
            </w:r>
            <w:r>
              <w:rPr>
                <w:rFonts w:hint="eastAsia" w:ascii="仿宋_GB2312" w:hAnsi="仿宋_GB2312" w:eastAsia="仿宋_GB2312" w:cs="仿宋_GB2312"/>
                <w:bCs/>
                <w:sz w:val="32"/>
                <w:szCs w:val="32"/>
                <w:lang w:eastAsia="zh-CN"/>
              </w:rPr>
              <w:t>四</w:t>
            </w:r>
            <w:r>
              <w:rPr>
                <w:rFonts w:hint="eastAsia" w:ascii="仿宋_GB2312" w:hAnsi="仿宋_GB2312" w:eastAsia="仿宋_GB2312" w:cs="仿宋_GB2312"/>
                <w:bCs/>
                <w:sz w:val="32"/>
                <w:szCs w:val="32"/>
              </w:rPr>
              <w:t>章</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lang w:eastAsia="zh-CN"/>
              </w:rPr>
              <w:t>火山粉葛采收和贮藏</w:t>
            </w:r>
          </w:p>
        </w:tc>
        <w:tc>
          <w:tcPr>
            <w:tcW w:w="1125" w:type="dxa"/>
            <w:vAlign w:val="center"/>
          </w:tcPr>
          <w:p>
            <w:pPr>
              <w:jc w:val="cente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2</w:t>
            </w:r>
          </w:p>
        </w:tc>
        <w:tc>
          <w:tcPr>
            <w:tcW w:w="1145" w:type="dxa"/>
            <w:vAlign w:val="center"/>
          </w:tcPr>
          <w:p>
            <w:pPr>
              <w:jc w:val="center"/>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9" w:type="dxa"/>
          </w:tcPr>
          <w:p>
            <w:pPr>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w:t>
            </w:r>
          </w:p>
        </w:tc>
        <w:tc>
          <w:tcPr>
            <w:tcW w:w="5328" w:type="dxa"/>
            <w:vAlign w:val="top"/>
          </w:tcPr>
          <w:p>
            <w:pPr>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第</w:t>
            </w:r>
            <w:r>
              <w:rPr>
                <w:rFonts w:hint="eastAsia" w:ascii="仿宋_GB2312" w:hAnsi="仿宋_GB2312" w:eastAsia="仿宋_GB2312" w:cs="仿宋_GB2312"/>
                <w:bCs/>
                <w:sz w:val="32"/>
                <w:szCs w:val="32"/>
                <w:lang w:eastAsia="zh-CN"/>
              </w:rPr>
              <w:t>五</w:t>
            </w:r>
            <w:r>
              <w:rPr>
                <w:rFonts w:hint="eastAsia" w:ascii="仿宋_GB2312" w:hAnsi="仿宋_GB2312" w:eastAsia="仿宋_GB2312" w:cs="仿宋_GB2312"/>
                <w:bCs/>
                <w:sz w:val="32"/>
                <w:szCs w:val="32"/>
              </w:rPr>
              <w:t>章</w:t>
            </w:r>
            <w:r>
              <w:rPr>
                <w:rFonts w:hint="eastAsia" w:ascii="仿宋_GB2312" w:hAnsi="仿宋_GB2312" w:eastAsia="仿宋_GB2312" w:cs="仿宋_GB2312"/>
                <w:bCs/>
                <w:sz w:val="32"/>
                <w:szCs w:val="32"/>
                <w:lang w:val="en-US" w:eastAsia="zh-CN"/>
              </w:rPr>
              <w:t xml:space="preserve">  地理标志产品火山粉葛的生产概况和保护范围及</w:t>
            </w:r>
            <w:r>
              <w:rPr>
                <w:rFonts w:hint="eastAsia" w:ascii="仿宋_GB2312" w:hAnsi="仿宋_GB2312" w:eastAsia="仿宋_GB2312" w:cs="仿宋_GB2312"/>
                <w:bCs/>
                <w:sz w:val="32"/>
                <w:szCs w:val="32"/>
                <w:lang w:eastAsia="zh-CN"/>
              </w:rPr>
              <w:t>地方标准</w:t>
            </w:r>
          </w:p>
        </w:tc>
        <w:tc>
          <w:tcPr>
            <w:tcW w:w="1125" w:type="dxa"/>
            <w:vAlign w:val="center"/>
          </w:tcPr>
          <w:p>
            <w:pPr>
              <w:jc w:val="cente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3</w:t>
            </w:r>
          </w:p>
        </w:tc>
        <w:tc>
          <w:tcPr>
            <w:tcW w:w="1145" w:type="dxa"/>
            <w:vAlign w:val="center"/>
          </w:tcPr>
          <w:p>
            <w:pPr>
              <w:jc w:val="cente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157" w:type="dxa"/>
            <w:gridSpan w:val="2"/>
          </w:tcPr>
          <w:p>
            <w:pPr>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总课时数</w:t>
            </w:r>
          </w:p>
        </w:tc>
        <w:tc>
          <w:tcPr>
            <w:tcW w:w="2270" w:type="dxa"/>
            <w:gridSpan w:val="2"/>
          </w:tcPr>
          <w:p>
            <w:pPr>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28</w:t>
            </w:r>
          </w:p>
        </w:tc>
      </w:tr>
    </w:tbl>
    <w:p>
      <w:pPr>
        <w:spacing w:line="360" w:lineRule="auto"/>
        <w:ind w:firstLine="640" w:firstLineChars="200"/>
        <w:rPr>
          <w:rFonts w:ascii="宋体" w:hAnsi="宋体" w:eastAsia="宋体" w:cs="宋体"/>
          <w:sz w:val="28"/>
          <w:szCs w:val="28"/>
        </w:rPr>
      </w:pPr>
      <w:r>
        <w:rPr>
          <w:rFonts w:hint="eastAsia" w:ascii="仿宋_GB2312" w:hAnsi="仿宋_GB2312" w:eastAsia="仿宋_GB2312" w:cs="仿宋_GB2312"/>
          <w:color w:val="000000" w:themeColor="text1"/>
          <w:sz w:val="32"/>
          <w:szCs w:val="32"/>
          <w14:textFill>
            <w14:solidFill>
              <w14:schemeClr w14:val="tx1"/>
            </w14:solidFill>
          </w14:textFill>
        </w:rPr>
        <w:t>注：每课时不少于</w:t>
      </w:r>
      <w:r>
        <w:rPr>
          <w:rFonts w:ascii="仿宋_GB2312" w:hAnsi="仿宋_GB2312" w:eastAsia="仿宋_GB2312" w:cs="仿宋_GB2312"/>
          <w:color w:val="000000" w:themeColor="text1"/>
          <w:sz w:val="32"/>
          <w:szCs w:val="32"/>
          <w14:textFill>
            <w14:solidFill>
              <w14:schemeClr w14:val="tx1"/>
            </w14:solidFill>
          </w14:textFill>
        </w:rPr>
        <w:t>45分钟。</w:t>
      </w:r>
    </w:p>
    <w:p>
      <w:pPr>
        <w:spacing w:line="360" w:lineRule="auto"/>
        <w:ind w:firstLine="640" w:firstLineChars="200"/>
        <w:rPr>
          <w:rFonts w:ascii="宋体" w:hAnsi="宋体" w:eastAsia="宋体" w:cs="宋体"/>
          <w:sz w:val="28"/>
          <w:szCs w:val="28"/>
        </w:rPr>
      </w:pPr>
      <w:r>
        <w:rPr>
          <w:rFonts w:hint="eastAsia" w:ascii="黑体" w:hAnsi="黑体" w:eastAsia="黑体" w:cs="黑体"/>
          <w:b w:val="0"/>
          <w:bCs w:val="0"/>
          <w:sz w:val="32"/>
          <w:szCs w:val="32"/>
        </w:rPr>
        <w:t>四、培训要求及培训内容</w:t>
      </w:r>
      <w:r>
        <w:rPr>
          <w:rFonts w:hint="eastAsia" w:ascii="宋体" w:hAnsi="宋体" w:eastAsia="宋体" w:cs="宋体"/>
          <w:sz w:val="28"/>
          <w:szCs w:val="28"/>
        </w:rPr>
        <w:t xml:space="preserve"> </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rPr>
        <w:t>4.</w:t>
      </w:r>
      <w:r>
        <w:rPr>
          <w:rFonts w:hint="eastAsia" w:ascii="楷体" w:hAnsi="楷体" w:eastAsia="楷体" w:cs="楷体"/>
          <w:b/>
          <w:bCs/>
          <w:sz w:val="32"/>
          <w:szCs w:val="32"/>
          <w:lang w:val="en-US" w:eastAsia="zh-CN"/>
        </w:rPr>
        <w:t>1 粉葛的生物学特性</w:t>
      </w:r>
    </w:p>
    <w:p>
      <w:pPr>
        <w:spacing w:line="360" w:lineRule="auto"/>
        <w:ind w:firstLine="643"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4.1.1 培训目标</w:t>
      </w:r>
    </w:p>
    <w:p>
      <w:pPr>
        <w:spacing w:line="360" w:lineRule="auto"/>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通过本单元培训，使培训对象能够掌握：</w:t>
      </w:r>
      <w:r>
        <w:rPr>
          <w:rFonts w:hint="eastAsia" w:ascii="仿宋_GB2312" w:hAnsi="仿宋_GB2312" w:eastAsia="仿宋_GB2312" w:cs="仿宋_GB2312"/>
          <w:color w:val="000000" w:themeColor="text1"/>
          <w:sz w:val="32"/>
          <w:szCs w:val="32"/>
          <w:lang w:eastAsia="zh-CN"/>
          <w14:textFill>
            <w14:solidFill>
              <w14:schemeClr w14:val="tx1"/>
            </w14:solidFill>
          </w14:textFill>
        </w:rPr>
        <w:t>了解</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粉葛的生物学特性和生态环境，掌握粉葛环境的具体要求。</w:t>
      </w:r>
    </w:p>
    <w:p>
      <w:pPr>
        <w:spacing w:line="360" w:lineRule="auto"/>
        <w:ind w:firstLine="643"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4.1.2 培训内容</w:t>
      </w:r>
    </w:p>
    <w:p>
      <w:pPr>
        <w:spacing w:line="360" w:lineRule="auto"/>
        <w:ind w:firstLine="643"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4.1.2.1 理论教学内容</w:t>
      </w:r>
    </w:p>
    <w:p>
      <w:pPr>
        <w:spacing w:line="360" w:lineRule="auto"/>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粉葛的生物学特性</w:t>
      </w:r>
    </w:p>
    <w:p>
      <w:pPr>
        <w:spacing w:line="360" w:lineRule="auto"/>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粉葛的生态环境</w:t>
      </w:r>
    </w:p>
    <w:p>
      <w:pPr>
        <w:spacing w:line="360" w:lineRule="auto"/>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粉葛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生长发育对环境条件的要求</w:t>
      </w:r>
    </w:p>
    <w:p>
      <w:pPr>
        <w:spacing w:line="360" w:lineRule="auto"/>
        <w:ind w:firstLine="643"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4.1.2.2 实操教学内容</w:t>
      </w:r>
    </w:p>
    <w:p>
      <w:pPr>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rPr>
        <w:t>（1）</w:t>
      </w:r>
      <w:r>
        <w:rPr>
          <w:rFonts w:hint="eastAsia" w:ascii="仿宋_GB2312" w:hAnsi="仿宋" w:eastAsia="仿宋_GB2312" w:cs="仿宋"/>
          <w:sz w:val="32"/>
          <w:szCs w:val="32"/>
          <w:lang w:eastAsia="zh-CN"/>
        </w:rPr>
        <w:t>观察形态特征</w:t>
      </w:r>
    </w:p>
    <w:p>
      <w:pPr>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rPr>
        <w:t>（2）</w:t>
      </w:r>
      <w:r>
        <w:rPr>
          <w:rFonts w:hint="eastAsia" w:ascii="仿宋_GB2312" w:hAnsi="仿宋" w:eastAsia="仿宋_GB2312" w:cs="仿宋"/>
          <w:sz w:val="32"/>
          <w:szCs w:val="32"/>
          <w:lang w:eastAsia="zh-CN"/>
        </w:rPr>
        <w:t>了解种植环境</w:t>
      </w:r>
    </w:p>
    <w:p>
      <w:pPr>
        <w:spacing w:line="360" w:lineRule="auto"/>
        <w:ind w:firstLine="643"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4.1.3 培训方式建议</w:t>
      </w:r>
    </w:p>
    <w:p>
      <w:pPr>
        <w:spacing w:line="360" w:lineRule="auto"/>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（1）理论教学：课堂授课形式</w:t>
      </w:r>
    </w:p>
    <w:p>
      <w:pPr>
        <w:spacing w:line="360" w:lineRule="auto"/>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（2）实操教学：示范教学</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val="en-US" w:eastAsia="zh-CN"/>
        </w:rPr>
        <w:t xml:space="preserve">4.2 </w:t>
      </w:r>
      <w:r>
        <w:rPr>
          <w:rFonts w:hint="eastAsia" w:ascii="楷体" w:hAnsi="楷体" w:eastAsia="楷体" w:cs="楷体"/>
          <w:b/>
          <w:bCs/>
          <w:sz w:val="32"/>
          <w:szCs w:val="32"/>
          <w:lang w:eastAsia="zh-CN"/>
        </w:rPr>
        <w:t>火山粉葛栽培技术</w:t>
      </w:r>
    </w:p>
    <w:p>
      <w:pPr>
        <w:spacing w:line="360" w:lineRule="auto"/>
        <w:ind w:firstLine="643"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4.2.1 培训目标</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通过本单元培训，使培训对象能够掌握：掌握</w:t>
      </w:r>
      <w:r>
        <w:rPr>
          <w:rFonts w:hint="eastAsia" w:ascii="仿宋_GB2312" w:hAnsi="仿宋_GB2312" w:eastAsia="仿宋_GB2312" w:cs="仿宋_GB2312"/>
          <w:color w:val="000000" w:themeColor="text1"/>
          <w:sz w:val="32"/>
          <w:szCs w:val="32"/>
          <w:lang w:eastAsia="zh-CN"/>
          <w14:textFill>
            <w14:solidFill>
              <w14:schemeClr w14:val="tx1"/>
            </w14:solidFill>
          </w14:textFill>
        </w:rPr>
        <w:t>火山粉葛栽培管理措施</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360" w:lineRule="auto"/>
        <w:ind w:firstLine="643"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4.2.2 培训内容</w:t>
      </w:r>
    </w:p>
    <w:p>
      <w:pPr>
        <w:spacing w:line="360" w:lineRule="auto"/>
        <w:ind w:firstLine="643"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4.2.2.1 理论教学内容</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（1）土壤选择与整地</w:t>
      </w:r>
    </w:p>
    <w:p>
      <w:pPr>
        <w:spacing w:line="360" w:lineRule="auto"/>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）种苗</w:t>
      </w:r>
      <w:r>
        <w:rPr>
          <w:rFonts w:hint="eastAsia" w:ascii="仿宋_GB2312" w:hAnsi="仿宋_GB2312" w:eastAsia="仿宋_GB2312" w:cs="仿宋_GB2312"/>
          <w:color w:val="000000" w:themeColor="text1"/>
          <w:sz w:val="32"/>
          <w:szCs w:val="32"/>
          <w:lang w:eastAsia="zh-CN"/>
          <w14:textFill>
            <w14:solidFill>
              <w14:schemeClr w14:val="tx1"/>
            </w14:solidFill>
          </w14:textFill>
        </w:rPr>
        <w:t>选择</w:t>
      </w:r>
    </w:p>
    <w:p>
      <w:pPr>
        <w:spacing w:line="360" w:lineRule="auto"/>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育苗技术</w:t>
      </w:r>
    </w:p>
    <w:p>
      <w:pPr>
        <w:spacing w:line="360" w:lineRule="auto"/>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）苗期管理</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适时定植</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）支架、理蔓与整枝</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）田间</w:t>
      </w:r>
      <w:r>
        <w:rPr>
          <w:rFonts w:hint="eastAsia" w:ascii="仿宋_GB2312" w:hAnsi="仿宋_GB2312" w:eastAsia="仿宋_GB2312" w:cs="仿宋_GB2312"/>
          <w:color w:val="000000" w:themeColor="text1"/>
          <w:sz w:val="32"/>
          <w:szCs w:val="32"/>
          <w:lang w:eastAsia="zh-CN"/>
          <w14:textFill>
            <w14:solidFill>
              <w14:schemeClr w14:val="tx1"/>
            </w14:solidFill>
          </w14:textFill>
        </w:rPr>
        <w:t>水肥</w:t>
      </w:r>
      <w:r>
        <w:rPr>
          <w:rFonts w:hint="eastAsia" w:ascii="仿宋_GB2312" w:hAnsi="仿宋_GB2312" w:eastAsia="仿宋_GB2312" w:cs="仿宋_GB2312"/>
          <w:color w:val="000000" w:themeColor="text1"/>
          <w:sz w:val="32"/>
          <w:szCs w:val="32"/>
          <w14:textFill>
            <w14:solidFill>
              <w14:schemeClr w14:val="tx1"/>
            </w14:solidFill>
          </w14:textFill>
        </w:rPr>
        <w:t>管理</w:t>
      </w:r>
    </w:p>
    <w:p>
      <w:pPr>
        <w:spacing w:line="360" w:lineRule="auto"/>
        <w:ind w:firstLine="643"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4.2.2.2 实操教学内容</w:t>
      </w:r>
    </w:p>
    <w:p>
      <w:pPr>
        <w:spacing w:line="360" w:lineRule="auto"/>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）整地的具体操作</w:t>
      </w:r>
    </w:p>
    <w:p>
      <w:pPr>
        <w:spacing w:line="360" w:lineRule="auto"/>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）抚育的具体操作</w:t>
      </w:r>
    </w:p>
    <w:p>
      <w:pPr>
        <w:spacing w:line="360" w:lineRule="auto"/>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）定植的具体操作</w:t>
      </w:r>
    </w:p>
    <w:p>
      <w:pPr>
        <w:spacing w:line="360" w:lineRule="auto"/>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）植株调整的具体操作</w:t>
      </w:r>
    </w:p>
    <w:p>
      <w:pPr>
        <w:spacing w:line="360" w:lineRule="auto"/>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）田间水肥管理的具体操作</w:t>
      </w:r>
    </w:p>
    <w:p>
      <w:pPr>
        <w:spacing w:line="360" w:lineRule="auto"/>
        <w:ind w:firstLine="643"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4.2.3 培训方式建议</w:t>
      </w:r>
    </w:p>
    <w:p>
      <w:pPr>
        <w:spacing w:line="360" w:lineRule="auto"/>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理论教学：课堂授课形式</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）实操教学：示范教学</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4.3 火山粉葛病虫害及其防治</w:t>
      </w:r>
    </w:p>
    <w:p>
      <w:pPr>
        <w:spacing w:line="360" w:lineRule="auto"/>
        <w:ind w:firstLine="643"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4.3.1 培训目标</w:t>
      </w:r>
    </w:p>
    <w:p>
      <w:pPr>
        <w:spacing w:line="360" w:lineRule="auto"/>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通过本单元培训，使培训对象能够掌握：</w:t>
      </w:r>
      <w:r>
        <w:rPr>
          <w:rFonts w:hint="eastAsia" w:ascii="仿宋_GB2312" w:hAnsi="仿宋_GB2312" w:eastAsia="仿宋_GB2312" w:cs="仿宋_GB2312"/>
          <w:color w:val="000000" w:themeColor="text1"/>
          <w:sz w:val="32"/>
          <w:szCs w:val="32"/>
          <w:lang w:eastAsia="zh-CN"/>
          <w14:textFill>
            <w14:solidFill>
              <w14:schemeClr w14:val="tx1"/>
            </w14:solidFill>
          </w14:textFill>
        </w:rPr>
        <w:t>了解病虫害综合防治原则，熟知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火山粉葛常见病虫害，掌握对病虫害防治的方法。</w:t>
      </w:r>
    </w:p>
    <w:p>
      <w:pPr>
        <w:spacing w:line="360" w:lineRule="auto"/>
        <w:ind w:firstLine="643"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4.3.2 培训内容</w:t>
      </w:r>
    </w:p>
    <w:p>
      <w:pPr>
        <w:spacing w:line="360" w:lineRule="auto"/>
        <w:ind w:firstLine="643"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4.3.2.1 理论教学内容</w:t>
      </w:r>
    </w:p>
    <w:p>
      <w:pPr>
        <w:widowControl/>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（1）病虫害防治原则</w:t>
      </w:r>
    </w:p>
    <w:p>
      <w:pPr>
        <w:widowControl/>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（2）苗期主要病虫害防治方法，重点分析早疫病、地老虎、蝼蛄、蚜虫</w:t>
      </w:r>
    </w:p>
    <w:p>
      <w:pPr>
        <w:widowControl/>
        <w:ind w:firstLine="640" w:firstLineChars="200"/>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（3）田间主要病虫害防治方法，重点分析叶斑病、锈病、立枯病、红蜘蛛、茶黄螨、潜叶蛾、介壳虫。</w:t>
      </w:r>
    </w:p>
    <w:p>
      <w:pPr>
        <w:spacing w:line="360" w:lineRule="auto"/>
        <w:ind w:firstLine="643"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4.3.2.2 实操教学内容</w:t>
      </w:r>
    </w:p>
    <w:p>
      <w:pPr>
        <w:widowControl/>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（1）主要病虫害的鉴别及防治方法</w:t>
      </w:r>
    </w:p>
    <w:p>
      <w:pPr>
        <w:widowControl/>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（2）病虫害综合防治措施的具体操作</w:t>
      </w:r>
    </w:p>
    <w:p>
      <w:pPr>
        <w:widowControl/>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（3）化学防治中农药的识别与勾兑以及正确使用方法。</w:t>
      </w:r>
    </w:p>
    <w:p>
      <w:pPr>
        <w:spacing w:line="360" w:lineRule="auto"/>
        <w:ind w:firstLine="643"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4.3.3 培训方式建议</w:t>
      </w:r>
    </w:p>
    <w:p>
      <w:pPr>
        <w:widowControl/>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（1）理论教学：课堂授课形式</w:t>
      </w:r>
    </w:p>
    <w:p>
      <w:pPr>
        <w:widowControl/>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（2）实操教学：示范教学</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4.4 火山粉葛采收和贮藏</w:t>
      </w:r>
    </w:p>
    <w:p>
      <w:pPr>
        <w:spacing w:line="360" w:lineRule="auto"/>
        <w:ind w:firstLine="643"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4.4.1 培训目标</w:t>
      </w:r>
    </w:p>
    <w:p>
      <w:pPr>
        <w:spacing w:line="360" w:lineRule="auto"/>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通过本单元培训，使培训对象能够掌握：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火山粉葛的采收和贮藏。</w:t>
      </w:r>
    </w:p>
    <w:p>
      <w:pPr>
        <w:spacing w:line="360" w:lineRule="auto"/>
        <w:ind w:firstLine="643"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4.4.2 培训内容</w:t>
      </w:r>
    </w:p>
    <w:p>
      <w:pPr>
        <w:spacing w:line="360" w:lineRule="auto"/>
        <w:ind w:firstLine="643"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4.4.2.1 理论教学内容</w:t>
      </w:r>
    </w:p>
    <w:p>
      <w:pPr>
        <w:widowControl/>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（1）采收时间和注意事项</w:t>
      </w:r>
    </w:p>
    <w:p>
      <w:pPr>
        <w:widowControl/>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（2）粉葛的贮藏方法</w:t>
      </w:r>
    </w:p>
    <w:p>
      <w:pPr>
        <w:spacing w:line="360" w:lineRule="auto"/>
        <w:ind w:firstLine="643"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4.4.2.2 实操教学内容</w:t>
      </w:r>
    </w:p>
    <w:p>
      <w:pPr>
        <w:widowControl/>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（1）采收的具体操作</w:t>
      </w:r>
    </w:p>
    <w:p>
      <w:pPr>
        <w:spacing w:line="360" w:lineRule="auto"/>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（2）贮藏的具体操作</w:t>
      </w:r>
    </w:p>
    <w:p>
      <w:pPr>
        <w:spacing w:line="360" w:lineRule="auto"/>
        <w:ind w:firstLine="643"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4.4.3 培训方式建议</w:t>
      </w:r>
    </w:p>
    <w:p>
      <w:pPr>
        <w:widowControl/>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（1）理论教学：课堂授课形式</w:t>
      </w:r>
    </w:p>
    <w:p>
      <w:pPr>
        <w:widowControl/>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（2）实操教学：示范教学</w:t>
      </w:r>
    </w:p>
    <w:p>
      <w:pPr>
        <w:spacing w:line="360" w:lineRule="auto"/>
        <w:ind w:firstLine="643" w:firstLineChars="200"/>
        <w:jc w:val="left"/>
        <w:rPr>
          <w:rFonts w:hint="eastAsia" w:ascii="楷体" w:hAnsi="楷体" w:eastAsia="楷体" w:cs="楷体"/>
          <w:b/>
          <w:bCs/>
          <w:color w:val="auto"/>
          <w:sz w:val="28"/>
          <w:szCs w:val="28"/>
        </w:rPr>
      </w:pPr>
      <w:r>
        <w:rPr>
          <w:rFonts w:hint="eastAsia" w:ascii="楷体" w:hAnsi="楷体" w:eastAsia="楷体" w:cs="楷体"/>
          <w:b/>
          <w:bCs/>
          <w:color w:val="auto"/>
          <w:sz w:val="32"/>
          <w:szCs w:val="32"/>
        </w:rPr>
        <w:t>4.</w:t>
      </w:r>
      <w:r>
        <w:rPr>
          <w:rFonts w:hint="eastAsia" w:ascii="楷体" w:hAnsi="楷体" w:eastAsia="楷体" w:cs="楷体"/>
          <w:b/>
          <w:bCs/>
          <w:color w:val="auto"/>
          <w:sz w:val="32"/>
          <w:szCs w:val="32"/>
          <w:lang w:val="en-US" w:eastAsia="zh-CN"/>
        </w:rPr>
        <w:t xml:space="preserve">5 </w:t>
      </w:r>
      <w:r>
        <w:rPr>
          <w:rFonts w:hint="eastAsia" w:ascii="楷体" w:hAnsi="楷体" w:eastAsia="楷体" w:cs="楷体"/>
          <w:b/>
          <w:bCs/>
          <w:color w:val="auto"/>
          <w:sz w:val="32"/>
          <w:szCs w:val="32"/>
          <w:lang w:eastAsia="zh-CN"/>
        </w:rPr>
        <w:t>地理标志产品火山粉葛的生产概况和保护范围及地方标准</w:t>
      </w:r>
    </w:p>
    <w:p>
      <w:pPr>
        <w:spacing w:line="360" w:lineRule="auto"/>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培训目标</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通过本单元培训，使培训对象能够掌握：熟悉</w:t>
      </w:r>
      <w:r>
        <w:rPr>
          <w:rFonts w:hint="eastAsia" w:ascii="仿宋_GB2312" w:hAnsi="仿宋_GB2312" w:eastAsia="仿宋_GB2312" w:cs="仿宋_GB2312"/>
          <w:color w:val="auto"/>
          <w:sz w:val="32"/>
          <w:szCs w:val="32"/>
          <w:lang w:eastAsia="zh-CN"/>
        </w:rPr>
        <w:t>火山粉葛的地理标志产品生产概况</w:t>
      </w:r>
      <w:r>
        <w:rPr>
          <w:rFonts w:hint="eastAsia" w:ascii="仿宋_GB2312" w:hAnsi="仿宋_GB2312" w:eastAsia="仿宋_GB2312" w:cs="仿宋_GB2312"/>
          <w:color w:val="auto"/>
          <w:sz w:val="32"/>
          <w:szCs w:val="32"/>
        </w:rPr>
        <w:t>，了解</w:t>
      </w:r>
      <w:r>
        <w:rPr>
          <w:rFonts w:hint="eastAsia" w:ascii="仿宋_GB2312" w:hAnsi="仿宋_GB2312" w:eastAsia="仿宋_GB2312" w:cs="仿宋_GB2312"/>
          <w:color w:val="auto"/>
          <w:sz w:val="32"/>
          <w:szCs w:val="32"/>
          <w:lang w:eastAsia="zh-CN"/>
        </w:rPr>
        <w:t>火山粉葛的地理标志产品</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保护范围，</w:t>
      </w:r>
      <w:r>
        <w:rPr>
          <w:rFonts w:hint="eastAsia" w:ascii="仿宋_GB2312" w:hAnsi="仿宋_GB2312" w:eastAsia="仿宋_GB2312" w:cs="仿宋_GB2312"/>
          <w:color w:val="auto"/>
          <w:sz w:val="32"/>
          <w:szCs w:val="32"/>
        </w:rPr>
        <w:t>掌握</w:t>
      </w:r>
      <w:r>
        <w:rPr>
          <w:rFonts w:hint="eastAsia" w:ascii="仿宋_GB2312" w:hAnsi="仿宋_GB2312" w:eastAsia="仿宋_GB2312" w:cs="仿宋_GB2312"/>
          <w:color w:val="auto"/>
          <w:sz w:val="32"/>
          <w:szCs w:val="32"/>
          <w:lang w:val="en-US" w:eastAsia="zh-CN"/>
        </w:rPr>
        <w:t>火山粉葛地理标志产品的质量要求、检测方法和指标、检验规则和包装要求等</w:t>
      </w:r>
    </w:p>
    <w:p>
      <w:pPr>
        <w:spacing w:line="360" w:lineRule="auto"/>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培训内容</w:t>
      </w:r>
    </w:p>
    <w:p>
      <w:pPr>
        <w:spacing w:line="360" w:lineRule="auto"/>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.2.1</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理论教学</w:t>
      </w:r>
    </w:p>
    <w:p>
      <w:pPr>
        <w:spacing w:line="360" w:lineRule="auto"/>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火山粉葛的地理标志产品生产概况。</w:t>
      </w:r>
    </w:p>
    <w:p>
      <w:pPr>
        <w:spacing w:line="360" w:lineRule="auto"/>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火山粉葛的地理标志产品</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保护范围。</w:t>
      </w:r>
    </w:p>
    <w:p>
      <w:pPr>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火山粉葛的地方标准</w:t>
      </w:r>
    </w:p>
    <w:p>
      <w:pPr>
        <w:widowControl/>
        <w:ind w:firstLine="1280" w:firstLineChars="4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火山粉葛的质量要求、检测方法和指标、检验规则和包装要求</w:t>
      </w:r>
    </w:p>
    <w:p>
      <w:pPr>
        <w:spacing w:line="360" w:lineRule="auto"/>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.2.2</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lang w:eastAsia="zh-CN"/>
        </w:rPr>
        <w:t>实操教学</w:t>
      </w:r>
      <w:r>
        <w:rPr>
          <w:rFonts w:hint="eastAsia" w:ascii="仿宋_GB2312" w:hAnsi="仿宋_GB2312" w:eastAsia="仿宋_GB2312" w:cs="仿宋_GB2312"/>
          <w:b/>
          <w:bCs/>
          <w:color w:val="auto"/>
          <w:sz w:val="32"/>
          <w:szCs w:val="32"/>
        </w:rPr>
        <w:t>内容</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）了解</w:t>
      </w:r>
      <w:r>
        <w:rPr>
          <w:rFonts w:hint="eastAsia" w:ascii="仿宋_GB2312" w:hAnsi="仿宋_GB2312" w:eastAsia="仿宋_GB2312" w:cs="仿宋_GB2312"/>
          <w:color w:val="auto"/>
          <w:sz w:val="32"/>
          <w:szCs w:val="32"/>
          <w:lang w:val="en-US" w:eastAsia="zh-CN"/>
        </w:rPr>
        <w:t>火山粉葛的质量要求</w:t>
      </w:r>
    </w:p>
    <w:p>
      <w:pPr>
        <w:spacing w:line="360" w:lineRule="auto"/>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）掌握</w:t>
      </w:r>
      <w:r>
        <w:rPr>
          <w:rFonts w:hint="eastAsia" w:ascii="仿宋_GB2312" w:hAnsi="仿宋_GB2312" w:eastAsia="仿宋_GB2312" w:cs="仿宋_GB2312"/>
          <w:color w:val="auto"/>
          <w:sz w:val="32"/>
          <w:szCs w:val="32"/>
          <w:lang w:val="en-US" w:eastAsia="zh-CN"/>
        </w:rPr>
        <w:t>火山粉葛</w:t>
      </w:r>
      <w:r>
        <w:rPr>
          <w:rFonts w:hint="eastAsia" w:ascii="仿宋_GB2312" w:hAnsi="仿宋_GB2312" w:eastAsia="仿宋_GB2312" w:cs="仿宋_GB2312"/>
          <w:color w:val="auto"/>
          <w:sz w:val="32"/>
          <w:szCs w:val="32"/>
          <w:lang w:eastAsia="zh-CN"/>
        </w:rPr>
        <w:t>的分级、包装</w:t>
      </w:r>
    </w:p>
    <w:p>
      <w:pPr>
        <w:spacing w:line="360" w:lineRule="auto"/>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.3</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培训方式建议</w:t>
      </w:r>
    </w:p>
    <w:p>
      <w:pPr>
        <w:widowControl/>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（1）理论教学：课堂授课形式</w:t>
      </w:r>
    </w:p>
    <w:p>
      <w:pPr>
        <w:widowControl/>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（2）实操教学：示范教学</w:t>
      </w:r>
    </w:p>
    <w:p>
      <w:pPr>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auto"/>
        <w:rPr>
          <w:rFonts w:hint="eastAsia" w:ascii="仿宋_GB2312" w:hAnsi="楷体_GB2312" w:eastAsia="仿宋_GB2312" w:cs="楷体_GB2312"/>
          <w:b/>
          <w:bCs/>
          <w:color w:val="000000" w:themeColor="text1"/>
          <w:kern w:val="2"/>
          <w:sz w:val="32"/>
          <w:szCs w:val="32"/>
          <w:lang w:val="en-US" w:eastAsia="zh-CN" w:bidi="ar-SA"/>
          <w14:textFill>
            <w14:solidFill>
              <w14:schemeClr w14:val="tx1"/>
            </w14:solidFill>
          </w14:textFill>
        </w:rPr>
      </w:pPr>
      <w:r>
        <w:rPr>
          <w:rFonts w:hint="eastAsia" w:ascii="仿宋_GB2312" w:hAnsi="楷体_GB2312" w:eastAsia="仿宋_GB2312" w:cs="楷体_GB2312"/>
          <w:b/>
          <w:bCs/>
          <w:color w:val="000000" w:themeColor="text1"/>
          <w:kern w:val="2"/>
          <w:sz w:val="32"/>
          <w:szCs w:val="32"/>
          <w:lang w:val="en-US" w:eastAsia="zh-CN" w:bidi="ar-SA"/>
          <w14:textFill>
            <w14:solidFill>
              <w14:schemeClr w14:val="tx1"/>
            </w14:solidFill>
          </w14:textFill>
        </w:rPr>
        <w:t>五、考核要求及内容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5.1</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考核方式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根据火山粉葛高产种植技术职业技能培训课程标准项目内容</w:t>
      </w:r>
      <w:r>
        <w:rPr>
          <w:rFonts w:hint="eastAsia" w:ascii="仿宋_GB2312" w:hAnsi="仿宋_GB2312" w:eastAsia="仿宋_GB2312" w:cs="仿宋_GB2312"/>
          <w:sz w:val="32"/>
          <w:szCs w:val="32"/>
        </w:rPr>
        <w:t>的具体情况确定</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sz w:val="32"/>
          <w:szCs w:val="32"/>
        </w:rPr>
        <w:t>考核</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采用理论+实操考核方式，理论知识采用闭卷作答的形式，技能操作考核采用现场实际操作方式，</w:t>
      </w:r>
      <w:r>
        <w:rPr>
          <w:rFonts w:hint="eastAsia" w:ascii="仿宋_GB2312" w:hAnsi="仿宋_GB2312" w:eastAsia="仿宋_GB2312" w:cs="仿宋_GB2312"/>
          <w:sz w:val="32"/>
          <w:szCs w:val="32"/>
          <w:lang w:val="en-US" w:eastAsia="zh-CN"/>
        </w:rPr>
        <w:t>重点考核学员操作能力</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。各项考试、考核成绩均实行百分制，成绩60分及以上者为合格。</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5.2</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考核内容</w:t>
      </w:r>
    </w:p>
    <w:p>
      <w:pPr>
        <w:spacing w:line="360" w:lineRule="auto"/>
        <w:ind w:firstLine="643"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5.2.1 理论+实操考核内容</w:t>
      </w:r>
    </w:p>
    <w:tbl>
      <w:tblPr>
        <w:tblStyle w:val="8"/>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3009"/>
        <w:gridCol w:w="3523"/>
        <w:gridCol w:w="764"/>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01"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课程名称：</w:t>
            </w:r>
            <w:r>
              <w:rPr>
                <w:rFonts w:hint="eastAsia" w:ascii="仿宋_GB2312" w:hAnsi="仿宋_GB2312" w:eastAsia="仿宋_GB2312" w:cs="仿宋_GB2312"/>
                <w:sz w:val="24"/>
                <w:szCs w:val="24"/>
                <w:lang w:eastAsia="zh-CN"/>
              </w:rPr>
              <w:t>火山粉葛高产种植</w:t>
            </w:r>
          </w:p>
          <w:p>
            <w:pPr>
              <w:rPr>
                <w:rFonts w:ascii="仿宋_GB2312" w:hAnsi="仿宋_GB2312" w:eastAsia="仿宋_GB2312" w:cs="仿宋_GB2312"/>
                <w:sz w:val="24"/>
                <w:szCs w:val="24"/>
              </w:rPr>
            </w:pPr>
            <w:r>
              <w:rPr>
                <w:rFonts w:hint="eastAsia" w:ascii="仿宋_GB2312" w:hAnsi="仿宋_GB2312" w:eastAsia="仿宋_GB2312" w:cs="仿宋_GB2312"/>
                <w:sz w:val="24"/>
                <w:szCs w:val="24"/>
                <w:highlight w:val="none"/>
                <w:lang w:eastAsia="zh-CN"/>
              </w:rPr>
              <w:t>（理论+实操</w:t>
            </w:r>
            <w:r>
              <w:rPr>
                <w:rFonts w:hint="eastAsia" w:ascii="仿宋_GB2312" w:hAnsi="仿宋_GB2312" w:eastAsia="仿宋_GB2312" w:cs="仿宋_GB2312"/>
                <w:sz w:val="24"/>
                <w:szCs w:val="24"/>
              </w:rPr>
              <w:t>考核，满分100分，60分合格）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考核</w:t>
            </w:r>
          </w:p>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内容</w:t>
            </w:r>
          </w:p>
        </w:tc>
        <w:tc>
          <w:tcPr>
            <w:tcW w:w="3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考核要求</w:t>
            </w:r>
          </w:p>
        </w:tc>
        <w:tc>
          <w:tcPr>
            <w:tcW w:w="352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相关知识</w:t>
            </w:r>
          </w:p>
        </w:tc>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理论</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考核</w:t>
            </w:r>
          </w:p>
          <w:p>
            <w:pPr>
              <w:jc w:val="center"/>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比重</w:t>
            </w:r>
          </w:p>
        </w:tc>
        <w:tc>
          <w:tcPr>
            <w:tcW w:w="7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实操</w:t>
            </w:r>
            <w:r>
              <w:rPr>
                <w:rFonts w:hint="eastAsia" w:ascii="仿宋_GB2312" w:hAnsi="仿宋_GB2312" w:eastAsia="仿宋_GB2312" w:cs="仿宋_GB2312"/>
                <w:sz w:val="24"/>
                <w:szCs w:val="24"/>
              </w:rPr>
              <w:t>考核</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粉葛的生物学特性</w:t>
            </w:r>
          </w:p>
        </w:tc>
        <w:tc>
          <w:tcPr>
            <w:tcW w:w="3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了解</w:t>
            </w:r>
            <w:r>
              <w:rPr>
                <w:rFonts w:hint="eastAsia" w:ascii="仿宋_GB2312" w:hAnsi="仿宋_GB2312" w:eastAsia="仿宋_GB2312" w:cs="仿宋_GB2312"/>
                <w:sz w:val="24"/>
                <w:szCs w:val="24"/>
                <w:lang w:val="en-US" w:eastAsia="zh-CN"/>
              </w:rPr>
              <w:t>粉葛的生物学特性和生态环境，掌握粉葛环境的具体要求</w:t>
            </w:r>
            <w:r>
              <w:rPr>
                <w:rFonts w:hint="eastAsia" w:ascii="仿宋_GB2312" w:hAnsi="仿宋_GB2312" w:eastAsia="仿宋_GB2312" w:cs="仿宋_GB2312"/>
                <w:sz w:val="24"/>
                <w:szCs w:val="24"/>
              </w:rPr>
              <w:t>。</w:t>
            </w:r>
          </w:p>
        </w:tc>
        <w:tc>
          <w:tcPr>
            <w:tcW w:w="3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sz w:val="24"/>
                <w:szCs w:val="24"/>
                <w:lang w:val="en-US" w:eastAsia="zh-CN"/>
              </w:rPr>
            </w:pPr>
            <w:r>
              <w:rPr>
                <w:rFonts w:hint="eastAsia" w:ascii="仿宋_GB2312" w:eastAsia="仿宋_GB2312"/>
                <w:sz w:val="24"/>
                <w:szCs w:val="24"/>
              </w:rPr>
              <w:t>1</w:t>
            </w:r>
            <w:r>
              <w:rPr>
                <w:rFonts w:hint="eastAsia" w:ascii="仿宋_GB2312" w:eastAsia="仿宋_GB2312"/>
                <w:sz w:val="24"/>
                <w:szCs w:val="24"/>
                <w:lang w:val="en-US" w:eastAsia="zh-CN"/>
              </w:rPr>
              <w:t>.粉葛植物学性状的相关知识。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2.粉葛的生态环境相关知识。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kern w:val="2"/>
                <w:sz w:val="24"/>
                <w:szCs w:val="24"/>
                <w:lang w:val="en-US" w:eastAsia="zh-CN" w:bidi="ar-SA"/>
              </w:rPr>
            </w:pPr>
            <w:r>
              <w:rPr>
                <w:rFonts w:hint="eastAsia" w:ascii="仿宋_GB2312" w:eastAsia="仿宋_GB2312"/>
                <w:sz w:val="24"/>
                <w:szCs w:val="24"/>
                <w:lang w:val="en-US" w:eastAsia="zh-CN"/>
              </w:rPr>
              <w:t>3.</w:t>
            </w:r>
            <w:r>
              <w:rPr>
                <w:rFonts w:hint="eastAsia" w:ascii="仿宋_GB2312" w:eastAsia="仿宋_GB2312"/>
                <w:sz w:val="24"/>
                <w:szCs w:val="24"/>
                <w:lang w:eastAsia="zh-CN"/>
              </w:rPr>
              <w:t>火山粉葛</w:t>
            </w:r>
            <w:r>
              <w:rPr>
                <w:rFonts w:hint="eastAsia" w:ascii="仿宋_GB2312" w:eastAsia="仿宋_GB2312"/>
                <w:sz w:val="24"/>
                <w:szCs w:val="24"/>
              </w:rPr>
              <w:t>生长对</w:t>
            </w:r>
            <w:r>
              <w:rPr>
                <w:rFonts w:hint="eastAsia" w:ascii="仿宋_GB2312" w:eastAsia="仿宋_GB2312"/>
                <w:sz w:val="24"/>
                <w:szCs w:val="24"/>
                <w:lang w:eastAsia="zh-CN"/>
              </w:rPr>
              <w:t>温度、关照、土壤和水分</w:t>
            </w:r>
            <w:r>
              <w:rPr>
                <w:rFonts w:hint="eastAsia" w:ascii="仿宋_GB2312" w:eastAsia="仿宋_GB2312"/>
                <w:sz w:val="24"/>
                <w:szCs w:val="24"/>
              </w:rPr>
              <w:t>的要求</w:t>
            </w:r>
          </w:p>
        </w:tc>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rPr>
              <w:t>%</w:t>
            </w:r>
          </w:p>
        </w:tc>
        <w:tc>
          <w:tcPr>
            <w:tcW w:w="78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火山粉葛栽培技术</w:t>
            </w:r>
          </w:p>
        </w:tc>
        <w:tc>
          <w:tcPr>
            <w:tcW w:w="3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eastAsia="仿宋_GB2312"/>
                <w:sz w:val="24"/>
                <w:szCs w:val="24"/>
                <w:lang w:eastAsia="zh-CN"/>
              </w:rPr>
              <w:t>掌握田块的选择，育苗技术，移栽的方法，植株调整的方法，田间水肥管理</w:t>
            </w:r>
          </w:p>
        </w:tc>
        <w:tc>
          <w:tcPr>
            <w:tcW w:w="3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整地的具体操作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抚育的具体操作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定植的具体操作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植株调整的具体操作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eastAsia="zh-CN"/>
              </w:rPr>
              <w:t>田间水肥管理的具体操作</w:t>
            </w:r>
          </w:p>
        </w:tc>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25</w:t>
            </w:r>
            <w:r>
              <w:rPr>
                <w:rFonts w:hint="eastAsia" w:ascii="仿宋_GB2312" w:hAnsi="仿宋_GB2312" w:eastAsia="仿宋_GB2312" w:cs="仿宋_GB2312"/>
                <w:sz w:val="24"/>
                <w:szCs w:val="24"/>
              </w:rPr>
              <w:t>%</w:t>
            </w:r>
          </w:p>
        </w:tc>
        <w:tc>
          <w:tcPr>
            <w:tcW w:w="78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火山粉葛</w:t>
            </w:r>
            <w:r>
              <w:rPr>
                <w:rFonts w:hint="eastAsia" w:ascii="仿宋_GB2312" w:hAnsi="仿宋_GB2312" w:eastAsia="仿宋_GB2312" w:cs="仿宋_GB2312"/>
                <w:sz w:val="24"/>
                <w:szCs w:val="24"/>
              </w:rPr>
              <w:t>病虫害</w:t>
            </w:r>
            <w:r>
              <w:rPr>
                <w:rFonts w:hint="eastAsia" w:ascii="仿宋_GB2312" w:hAnsi="仿宋_GB2312" w:eastAsia="仿宋_GB2312" w:cs="仿宋_GB2312"/>
                <w:sz w:val="24"/>
                <w:szCs w:val="24"/>
                <w:lang w:eastAsia="zh-CN"/>
              </w:rPr>
              <w:t>及其</w:t>
            </w:r>
            <w:r>
              <w:rPr>
                <w:rFonts w:hint="eastAsia" w:ascii="仿宋_GB2312" w:hAnsi="仿宋_GB2312" w:eastAsia="仿宋_GB2312" w:cs="仿宋_GB2312"/>
                <w:sz w:val="24"/>
                <w:szCs w:val="24"/>
              </w:rPr>
              <w:t>防治</w:t>
            </w:r>
          </w:p>
        </w:tc>
        <w:tc>
          <w:tcPr>
            <w:tcW w:w="3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eastAsia="仿宋_GB2312"/>
                <w:sz w:val="24"/>
                <w:szCs w:val="24"/>
              </w:rPr>
              <w:t>了解病虫害防治</w:t>
            </w:r>
            <w:r>
              <w:rPr>
                <w:rFonts w:hint="eastAsia" w:ascii="仿宋_GB2312" w:eastAsia="仿宋_GB2312"/>
                <w:sz w:val="24"/>
                <w:szCs w:val="24"/>
                <w:lang w:eastAsia="zh-CN"/>
              </w:rPr>
              <w:t>原则</w:t>
            </w:r>
            <w:r>
              <w:rPr>
                <w:rFonts w:hint="eastAsia" w:ascii="仿宋_GB2312" w:eastAsia="仿宋_GB2312"/>
                <w:sz w:val="24"/>
                <w:szCs w:val="24"/>
              </w:rPr>
              <w:t>，熟知</w:t>
            </w:r>
            <w:r>
              <w:rPr>
                <w:rFonts w:hint="eastAsia" w:ascii="仿宋_GB2312" w:eastAsia="仿宋_GB2312"/>
                <w:sz w:val="24"/>
                <w:szCs w:val="24"/>
                <w:lang w:eastAsia="zh-CN"/>
              </w:rPr>
              <w:t>火山粉葛</w:t>
            </w:r>
            <w:r>
              <w:rPr>
                <w:rFonts w:hint="eastAsia" w:ascii="仿宋_GB2312" w:eastAsia="仿宋_GB2312"/>
                <w:sz w:val="24"/>
                <w:szCs w:val="24"/>
              </w:rPr>
              <w:t>常见病虫害，掌握对病虫害防治的方法。</w:t>
            </w:r>
          </w:p>
        </w:tc>
        <w:tc>
          <w:tcPr>
            <w:tcW w:w="3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主要病虫害的鉴别及防治方法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病虫害综合防治措施的具体操作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化学防治中农药的识别与勾兑以及正确使用方法。</w:t>
            </w:r>
          </w:p>
        </w:tc>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25</w:t>
            </w:r>
            <w:r>
              <w:rPr>
                <w:rFonts w:hint="eastAsia" w:ascii="仿宋_GB2312" w:hAnsi="仿宋_GB2312" w:eastAsia="仿宋_GB2312" w:cs="仿宋_GB2312"/>
                <w:sz w:val="24"/>
                <w:szCs w:val="24"/>
              </w:rPr>
              <w:t>%</w:t>
            </w:r>
          </w:p>
        </w:tc>
        <w:tc>
          <w:tcPr>
            <w:tcW w:w="78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火山粉葛采收和贮藏</w:t>
            </w:r>
          </w:p>
        </w:tc>
        <w:tc>
          <w:tcPr>
            <w:tcW w:w="3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Calibri" w:eastAsia="仿宋_GB2312" w:cs="Arial"/>
                <w:kern w:val="2"/>
                <w:sz w:val="24"/>
                <w:szCs w:val="24"/>
                <w:lang w:val="en-US" w:eastAsia="zh-CN" w:bidi="ar-SA"/>
              </w:rPr>
            </w:pPr>
            <w:r>
              <w:rPr>
                <w:rFonts w:hint="eastAsia" w:ascii="仿宋_GB2312" w:eastAsia="仿宋_GB2312"/>
                <w:sz w:val="24"/>
                <w:szCs w:val="24"/>
              </w:rPr>
              <w:t>能适时适法做好</w:t>
            </w:r>
            <w:r>
              <w:rPr>
                <w:rFonts w:hint="eastAsia" w:ascii="仿宋_GB2312" w:hAnsi="仿宋_GB2312" w:eastAsia="仿宋_GB2312" w:cs="仿宋_GB2312"/>
                <w:sz w:val="24"/>
                <w:szCs w:val="24"/>
                <w:lang w:eastAsia="zh-CN"/>
              </w:rPr>
              <w:t>火山粉葛采收和贮藏</w:t>
            </w:r>
          </w:p>
        </w:tc>
        <w:tc>
          <w:tcPr>
            <w:tcW w:w="3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sz w:val="24"/>
                <w:szCs w:val="24"/>
              </w:rPr>
            </w:pPr>
            <w:r>
              <w:rPr>
                <w:rFonts w:hint="eastAsia" w:ascii="仿宋_GB2312" w:eastAsia="仿宋_GB2312"/>
                <w:sz w:val="24"/>
                <w:szCs w:val="24"/>
              </w:rPr>
              <w:t>1</w:t>
            </w:r>
            <w:r>
              <w:rPr>
                <w:rFonts w:hint="eastAsia" w:ascii="仿宋_GB2312" w:eastAsia="仿宋_GB2312"/>
                <w:sz w:val="24"/>
                <w:szCs w:val="24"/>
                <w:lang w:val="en-US" w:eastAsia="zh-CN"/>
              </w:rPr>
              <w:t>.懂得采收</w:t>
            </w:r>
            <w:r>
              <w:rPr>
                <w:rFonts w:hint="eastAsia" w:ascii="仿宋_GB2312" w:eastAsia="仿宋_GB2312"/>
                <w:sz w:val="24"/>
                <w:szCs w:val="24"/>
              </w:rPr>
              <w:t>的相关知识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Calibri" w:eastAsia="仿宋_GB2312" w:cs="Arial"/>
                <w:kern w:val="2"/>
                <w:sz w:val="24"/>
                <w:szCs w:val="24"/>
                <w:lang w:val="en-US" w:eastAsia="zh-CN" w:bidi="ar-SA"/>
              </w:rPr>
            </w:pPr>
            <w:r>
              <w:rPr>
                <w:rFonts w:hint="eastAsia" w:ascii="仿宋_GB2312" w:eastAsia="仿宋_GB2312"/>
                <w:sz w:val="24"/>
                <w:szCs w:val="24"/>
              </w:rPr>
              <w:t>2</w:t>
            </w:r>
            <w:r>
              <w:rPr>
                <w:rFonts w:hint="eastAsia" w:ascii="仿宋_GB2312" w:eastAsia="仿宋_GB2312"/>
                <w:sz w:val="24"/>
                <w:szCs w:val="24"/>
                <w:lang w:val="en-US" w:eastAsia="zh-CN"/>
              </w:rPr>
              <w:t>.懂得</w:t>
            </w:r>
            <w:r>
              <w:rPr>
                <w:rFonts w:hint="eastAsia" w:ascii="仿宋_GB2312" w:hAnsi="仿宋_GB2312" w:eastAsia="仿宋_GB2312" w:cs="仿宋_GB2312"/>
                <w:sz w:val="24"/>
                <w:szCs w:val="24"/>
                <w:lang w:eastAsia="zh-CN"/>
              </w:rPr>
              <w:t>贮藏</w:t>
            </w:r>
            <w:r>
              <w:rPr>
                <w:rFonts w:hint="eastAsia" w:ascii="仿宋_GB2312" w:eastAsia="仿宋_GB2312"/>
                <w:sz w:val="24"/>
                <w:szCs w:val="24"/>
              </w:rPr>
              <w:t>相关知识</w:t>
            </w:r>
          </w:p>
        </w:tc>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w:t>
            </w:r>
          </w:p>
        </w:tc>
        <w:tc>
          <w:tcPr>
            <w:tcW w:w="78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hAnsiTheme="minorHAnsi" w:cstheme="minorBidi"/>
                <w:kern w:val="2"/>
                <w:sz w:val="24"/>
                <w:szCs w:val="24"/>
                <w:lang w:val="en-US" w:eastAsia="zh-CN" w:bidi="ar-SA"/>
              </w:rPr>
            </w:pPr>
            <w:r>
              <w:rPr>
                <w:rFonts w:hint="eastAsia" w:ascii="仿宋_GB2312" w:hAnsi="仿宋_GB2312" w:eastAsia="仿宋_GB2312" w:cs="仿宋_GB2312"/>
                <w:sz w:val="24"/>
                <w:szCs w:val="24"/>
                <w:lang w:val="en-US" w:eastAsia="zh-CN"/>
              </w:rPr>
              <w:t>地理标志产品火山粉葛的生产概况和保护范围及地方标准</w:t>
            </w:r>
          </w:p>
        </w:tc>
        <w:tc>
          <w:tcPr>
            <w:tcW w:w="3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hAnsiTheme="minorHAnsi" w:cstheme="minorBidi"/>
                <w:kern w:val="2"/>
                <w:sz w:val="24"/>
                <w:szCs w:val="24"/>
                <w:lang w:val="en-US" w:eastAsia="zh-CN" w:bidi="ar-SA"/>
              </w:rPr>
            </w:pPr>
            <w:r>
              <w:rPr>
                <w:rFonts w:hint="eastAsia" w:ascii="仿宋_GB2312" w:hAnsi="仿宋_GB2312" w:eastAsia="仿宋_GB2312" w:cs="仿宋_GB2312"/>
                <w:sz w:val="24"/>
                <w:szCs w:val="24"/>
                <w:lang w:val="en-US" w:eastAsia="zh-CN"/>
              </w:rPr>
              <w:t>熟知地理标志产品火山粉葛的保护范围，</w:t>
            </w:r>
            <w:r>
              <w:rPr>
                <w:rFonts w:hint="eastAsia" w:ascii="仿宋_GB2312" w:eastAsia="仿宋_GB2312" w:hAnsiTheme="minorHAnsi" w:cstheme="minorBidi"/>
                <w:kern w:val="2"/>
                <w:sz w:val="24"/>
                <w:szCs w:val="24"/>
                <w:lang w:val="en-US" w:eastAsia="zh-CN" w:bidi="ar-SA"/>
              </w:rPr>
              <w:t>了解火山粉葛的质量要求，掌握火山粉葛的分级、包装</w:t>
            </w:r>
          </w:p>
        </w:tc>
        <w:tc>
          <w:tcPr>
            <w:tcW w:w="3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hAnsiTheme="minorHAnsi" w:cstheme="minorBidi"/>
                <w:kern w:val="2"/>
                <w:sz w:val="24"/>
                <w:szCs w:val="24"/>
                <w:lang w:val="en-US" w:eastAsia="zh-CN" w:bidi="ar-SA"/>
              </w:rPr>
            </w:pPr>
            <w:r>
              <w:rPr>
                <w:rFonts w:hint="eastAsia" w:ascii="仿宋_GB2312" w:hAnsi="仿宋_GB2312" w:eastAsia="仿宋_GB2312" w:cs="仿宋_GB2312"/>
                <w:sz w:val="24"/>
                <w:szCs w:val="24"/>
                <w:lang w:val="en-US" w:eastAsia="zh-CN"/>
              </w:rPr>
              <w:t>地理标志产品火山粉葛的保护范围</w:t>
            </w:r>
            <w:r>
              <w:rPr>
                <w:rFonts w:hint="eastAsia" w:ascii="仿宋_GB2312" w:hAnsi="仿宋_GB2312" w:eastAsia="仿宋_GB2312" w:cs="仿宋_GB2312"/>
                <w:sz w:val="24"/>
                <w:szCs w:val="24"/>
              </w:rPr>
              <w:t>广东省韶关市曲江区大塘镇</w:t>
            </w:r>
            <w:r>
              <w:rPr>
                <w:rFonts w:hint="eastAsia" w:ascii="仿宋_GB2312" w:hAnsi="仿宋_GB2312" w:eastAsia="仿宋_GB2312" w:cs="仿宋_GB2312"/>
                <w:sz w:val="24"/>
                <w:szCs w:val="24"/>
                <w:lang w:eastAsia="zh-CN"/>
              </w:rPr>
              <w:t>；</w:t>
            </w:r>
            <w:r>
              <w:rPr>
                <w:rFonts w:hint="eastAsia" w:ascii="仿宋_GB2312" w:eastAsia="仿宋_GB2312" w:hAnsiTheme="minorHAnsi" w:cstheme="minorBidi"/>
                <w:kern w:val="2"/>
                <w:sz w:val="24"/>
                <w:szCs w:val="24"/>
                <w:lang w:val="en-US" w:eastAsia="zh-CN" w:bidi="ar-SA"/>
              </w:rPr>
              <w:t>懂得火山粉葛的分级、包装</w:t>
            </w:r>
          </w:p>
        </w:tc>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rPr>
              <w:t>%</w:t>
            </w:r>
          </w:p>
        </w:tc>
        <w:tc>
          <w:tcPr>
            <w:tcW w:w="78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10%</w:t>
            </w:r>
          </w:p>
        </w:tc>
      </w:tr>
    </w:tbl>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5.3</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考核标准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①考核考生在理论和实操考核过程中是否懂得火山粉葛的生物学特性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②考核考生在理论和实操考核过程中是否懂得火山粉葛的栽培和管理技术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③考核考生在理论和实操考核过程中是否懂得火山粉葛的病虫害防治技术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④考核考生在理论和实操考核过程中是否懂得火山粉葛的采收和贮藏方法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⑤考核考生在实操过程中是否懂得地理标志产品火山粉葛的生产概况和保护范围及地方标准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5.4</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考核时间</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理论和实操考核的时间均不少于60分钟。</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sz w:val="28"/>
          <w:szCs w:val="28"/>
        </w:rPr>
      </w:pPr>
      <w:r>
        <w:rPr>
          <w:rFonts w:hint="eastAsia" w:ascii="楷体" w:hAnsi="楷体" w:eastAsia="楷体" w:cs="楷体"/>
          <w:b/>
          <w:bCs/>
          <w:sz w:val="32"/>
          <w:szCs w:val="32"/>
        </w:rPr>
        <w:t>5.5</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考核场所设备要求</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操考核场地面积不少于200平方米，操作场地交通方便无干扰，考核项目需准备适宜种植地块、电动和手动药物喷雾器，各类锄头、镰刀、不锈钢水果刀、水桶、盆、桶、量杯、称、铁铲、箩筐、多媒体设备等及场地。粉葛、种苗、植株、纸箱、农药、手套、肥料、考试资料、笔、口罩等物料。</w:t>
      </w:r>
    </w:p>
    <w:p>
      <w:pPr>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楷体_GB2312" w:eastAsia="仿宋_GB2312" w:cs="楷体_GB2312"/>
          <w:b/>
          <w:bCs/>
          <w:color w:val="000000" w:themeColor="text1"/>
          <w:kern w:val="2"/>
          <w:sz w:val="32"/>
          <w:szCs w:val="32"/>
          <w:lang w:val="en-US" w:eastAsia="zh-CN" w:bidi="ar-SA"/>
          <w14:textFill>
            <w14:solidFill>
              <w14:schemeClr w14:val="tx1"/>
            </w14:solidFill>
          </w14:textFill>
        </w:rPr>
        <w:t>六、推荐教材</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6.1 </w:t>
      </w:r>
      <w:r>
        <w:rPr>
          <w:rFonts w:hint="eastAsia" w:ascii="仿宋_GB2312" w:hAnsi="仿宋_GB2312" w:eastAsia="仿宋_GB2312" w:cs="仿宋_GB2312"/>
          <w:color w:val="000000" w:themeColor="text1"/>
          <w:sz w:val="32"/>
          <w:szCs w:val="32"/>
          <w14:textFill>
            <w14:solidFill>
              <w14:schemeClr w14:val="tx1"/>
            </w14:solidFill>
          </w14:textFill>
        </w:rPr>
        <w:t>《葛的栽培与葛根的加工利用》，</w:t>
      </w:r>
      <w:r>
        <w:rPr>
          <w:rFonts w:hint="eastAsia" w:ascii="仿宋_GB2312" w:hAnsi="仿宋_GB2312" w:eastAsia="仿宋_GB2312" w:cs="仿宋_GB2312"/>
          <w:color w:val="000000" w:themeColor="text1"/>
          <w:sz w:val="32"/>
          <w:szCs w:val="32"/>
          <w:lang w:eastAsia="zh-CN"/>
          <w14:textFill>
            <w14:solidFill>
              <w14:schemeClr w14:val="tx1"/>
            </w14:solidFill>
          </w14:textFill>
        </w:rPr>
        <w:t>金盾出版社</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2002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月第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版</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6.2 广东省地方标准-地理标志产品 火山粉葛</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6.3 韶关市地方标准-地理标志产品 火山粉葛</w:t>
      </w:r>
    </w:p>
    <w:p>
      <w:pPr>
        <w:spacing w:line="560" w:lineRule="exact"/>
        <w:rPr>
          <w:rFonts w:hint="eastAsia" w:ascii="仿宋_GB2312" w:hAnsi="仿宋_GB2312" w:eastAsia="仿宋_GB2312" w:cs="仿宋_GB2312"/>
          <w:color w:val="000000" w:themeColor="text1"/>
          <w:sz w:val="32"/>
          <w:szCs w:val="32"/>
          <w14:textFill>
            <w14:solidFill>
              <w14:schemeClr w14:val="tx1"/>
            </w14:solidFill>
          </w14:textFill>
        </w:rPr>
      </w:pP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MGE2NWI0ZjI0MWYyYzQ4NTUyODk2MDkzNWRjNjM5YzAifQ=="/>
  </w:docVars>
  <w:rsids>
    <w:rsidRoot w:val="00000000"/>
    <w:rsid w:val="03CA48D7"/>
    <w:rsid w:val="040C65A7"/>
    <w:rsid w:val="04FD6036"/>
    <w:rsid w:val="05221C56"/>
    <w:rsid w:val="054B07AB"/>
    <w:rsid w:val="05525AC1"/>
    <w:rsid w:val="06186DD5"/>
    <w:rsid w:val="08D41B7F"/>
    <w:rsid w:val="08D62877"/>
    <w:rsid w:val="0A645326"/>
    <w:rsid w:val="0AE7554D"/>
    <w:rsid w:val="0E6204CB"/>
    <w:rsid w:val="0E87259A"/>
    <w:rsid w:val="104E4DC7"/>
    <w:rsid w:val="13E90A2F"/>
    <w:rsid w:val="14690F46"/>
    <w:rsid w:val="157437E4"/>
    <w:rsid w:val="15783262"/>
    <w:rsid w:val="164B2106"/>
    <w:rsid w:val="1ABA3319"/>
    <w:rsid w:val="1ABC2AC5"/>
    <w:rsid w:val="1B8575A1"/>
    <w:rsid w:val="1DD62D86"/>
    <w:rsid w:val="1F3A79D5"/>
    <w:rsid w:val="22307F92"/>
    <w:rsid w:val="22AA7912"/>
    <w:rsid w:val="242F5892"/>
    <w:rsid w:val="246F2F82"/>
    <w:rsid w:val="285A0DAE"/>
    <w:rsid w:val="285F44A9"/>
    <w:rsid w:val="287549E8"/>
    <w:rsid w:val="29924A55"/>
    <w:rsid w:val="2A096F74"/>
    <w:rsid w:val="2A791A2F"/>
    <w:rsid w:val="2B305F74"/>
    <w:rsid w:val="2BD96172"/>
    <w:rsid w:val="2CBC10BC"/>
    <w:rsid w:val="2E210802"/>
    <w:rsid w:val="33761894"/>
    <w:rsid w:val="33C863F5"/>
    <w:rsid w:val="342803F5"/>
    <w:rsid w:val="3436361F"/>
    <w:rsid w:val="3903662D"/>
    <w:rsid w:val="3A4A247C"/>
    <w:rsid w:val="3AAD2767"/>
    <w:rsid w:val="3AD5287C"/>
    <w:rsid w:val="3B734824"/>
    <w:rsid w:val="3E890172"/>
    <w:rsid w:val="3FA15089"/>
    <w:rsid w:val="409B3474"/>
    <w:rsid w:val="418C5522"/>
    <w:rsid w:val="43B255AB"/>
    <w:rsid w:val="43E42737"/>
    <w:rsid w:val="45F108D4"/>
    <w:rsid w:val="45F35A81"/>
    <w:rsid w:val="4654652B"/>
    <w:rsid w:val="4925366D"/>
    <w:rsid w:val="4B900B1C"/>
    <w:rsid w:val="4B9D6CBA"/>
    <w:rsid w:val="4D100AC4"/>
    <w:rsid w:val="4F4713A2"/>
    <w:rsid w:val="4F955DC4"/>
    <w:rsid w:val="50C01348"/>
    <w:rsid w:val="51AD3A10"/>
    <w:rsid w:val="51C315BE"/>
    <w:rsid w:val="52DD31D3"/>
    <w:rsid w:val="52F346BF"/>
    <w:rsid w:val="542F4D0F"/>
    <w:rsid w:val="562C1DB5"/>
    <w:rsid w:val="56D42EDE"/>
    <w:rsid w:val="56DA3E47"/>
    <w:rsid w:val="57020DD1"/>
    <w:rsid w:val="57F41DD7"/>
    <w:rsid w:val="5A263B25"/>
    <w:rsid w:val="5C487B62"/>
    <w:rsid w:val="5CD94D7C"/>
    <w:rsid w:val="5D312348"/>
    <w:rsid w:val="5D9745AB"/>
    <w:rsid w:val="5E597A64"/>
    <w:rsid w:val="5ED7522D"/>
    <w:rsid w:val="60D64231"/>
    <w:rsid w:val="638C22E5"/>
    <w:rsid w:val="645A3D27"/>
    <w:rsid w:val="65551869"/>
    <w:rsid w:val="65956BBB"/>
    <w:rsid w:val="66C16136"/>
    <w:rsid w:val="67D06815"/>
    <w:rsid w:val="68C8056D"/>
    <w:rsid w:val="69CE23E4"/>
    <w:rsid w:val="6AE449A7"/>
    <w:rsid w:val="6EE1785C"/>
    <w:rsid w:val="6F7335F4"/>
    <w:rsid w:val="70513220"/>
    <w:rsid w:val="71467F9A"/>
    <w:rsid w:val="74811B77"/>
    <w:rsid w:val="75616F8A"/>
    <w:rsid w:val="77EB7903"/>
    <w:rsid w:val="7E1C41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0">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12</Pages>
  <Words>3264</Words>
  <Characters>3492</Characters>
  <Lines>121</Lines>
  <Paragraphs>57</Paragraphs>
  <TotalTime>4</TotalTime>
  <ScaleCrop>false</ScaleCrop>
  <LinksUpToDate>false</LinksUpToDate>
  <CharactersWithSpaces>3554</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2020-03-23T03:46:00Z</dcterms:created>
  <dc:creator>林文远</dc:creator>
  <cp:lastModifiedBy>苏卓翔</cp:lastModifiedBy>
  <dcterms:modified xsi:type="dcterms:W3CDTF">2022-06-08T03:31:54Z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51B1BD90AD8048C181B2F1A4B6FF1A2A</vt:lpwstr>
  </property>
</Properties>
</file>